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3F96794"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001E6808" w:rsidRPr="001E6808">
        <w:rPr>
          <w:bCs/>
          <w:noProof w:val="0"/>
          <w:sz w:val="24"/>
          <w:szCs w:val="24"/>
        </w:rPr>
        <w:t>R2-2500766</w:t>
      </w:r>
    </w:p>
    <w:p w14:paraId="3723E1D3" w14:textId="020759E2" w:rsidR="005432D9" w:rsidRPr="005A5862" w:rsidRDefault="00911F55" w:rsidP="00541A65">
      <w:pPr>
        <w:pStyle w:val="Header"/>
        <w:tabs>
          <w:tab w:val="right" w:pos="9641"/>
        </w:tabs>
        <w:rPr>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F6979ED"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B06D7">
        <w:rPr>
          <w:rFonts w:cs="Arial"/>
          <w:b/>
          <w:bCs/>
          <w:sz w:val="24"/>
        </w:rPr>
        <w:t>8.7.4.</w:t>
      </w:r>
      <w:r w:rsidR="00A47592">
        <w:rPr>
          <w:rFonts w:cs="Arial"/>
          <w:b/>
          <w:bCs/>
          <w:sz w:val="24"/>
        </w:rPr>
        <w:t>2</w:t>
      </w:r>
    </w:p>
    <w:p w14:paraId="0EC781B3" w14:textId="1AA55B6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45FC4">
        <w:rPr>
          <w:rFonts w:ascii="Arial" w:hAnsi="Arial" w:cs="Arial"/>
          <w:b/>
          <w:bCs/>
          <w:sz w:val="24"/>
        </w:rPr>
        <w:t>, Nokia Shanghai Bell</w:t>
      </w:r>
    </w:p>
    <w:p w14:paraId="16C775DD" w14:textId="47502C33"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7592">
        <w:rPr>
          <w:rFonts w:ascii="Arial" w:hAnsi="Arial" w:cs="Arial"/>
          <w:b/>
          <w:bCs/>
          <w:sz w:val="24"/>
        </w:rPr>
        <w:t>DSR</w:t>
      </w:r>
      <w:r w:rsidR="00AB06D7">
        <w:rPr>
          <w:rFonts w:ascii="Arial" w:hAnsi="Arial" w:cs="Arial"/>
          <w:b/>
          <w:bCs/>
          <w:sz w:val="24"/>
        </w:rPr>
        <w:t xml:space="preserve"> enhancements</w:t>
      </w:r>
    </w:p>
    <w:p w14:paraId="7D015DD9" w14:textId="750B592F"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B06D7" w:rsidRPr="00AB06D7">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9428A27" w14:textId="195E5009" w:rsidR="00D5364F" w:rsidRDefault="00D5364F" w:rsidP="008B549E">
      <w:bookmarkStart w:id="0" w:name="_Hlk188260770"/>
      <w:r w:rsidRPr="00D5364F">
        <w:t xml:space="preserve">The following agreements were made in RAN2#128: </w:t>
      </w:r>
    </w:p>
    <w:tbl>
      <w:tblPr>
        <w:tblStyle w:val="TableGrid"/>
        <w:tblW w:w="0" w:type="auto"/>
        <w:tblLook w:val="04A0" w:firstRow="1" w:lastRow="0" w:firstColumn="1" w:lastColumn="0" w:noHBand="0" w:noVBand="1"/>
      </w:tblPr>
      <w:tblGrid>
        <w:gridCol w:w="9631"/>
      </w:tblGrid>
      <w:tr w:rsidR="00D5364F" w14:paraId="449ABED0" w14:textId="77777777" w:rsidTr="00D5364F">
        <w:tc>
          <w:tcPr>
            <w:tcW w:w="9631" w:type="dxa"/>
          </w:tcPr>
          <w:bookmarkEnd w:id="0"/>
          <w:p w14:paraId="254F58A6" w14:textId="77777777" w:rsidR="00D5364F" w:rsidRDefault="00D5364F" w:rsidP="00D5364F">
            <w:pPr>
              <w:pStyle w:val="Doc-title"/>
              <w:rPr>
                <w:b/>
              </w:rPr>
            </w:pPr>
            <w:r>
              <w:rPr>
                <w:b/>
              </w:rPr>
              <w:t>Thresholds configuration</w:t>
            </w:r>
          </w:p>
          <w:p w14:paraId="6E88C8A9" w14:textId="77777777" w:rsidR="00D5364F" w:rsidRDefault="00D5364F" w:rsidP="00D5364F">
            <w:pPr>
              <w:pStyle w:val="Agreement"/>
              <w:tabs>
                <w:tab w:val="clear" w:pos="1619"/>
                <w:tab w:val="num" w:pos="1298"/>
              </w:tabs>
              <w:ind w:left="589"/>
            </w:pPr>
            <w:r w:rsidRPr="0081545D">
              <w:t>Let the network configure the triggering and reporting thresholds without constraints.</w:t>
            </w:r>
          </w:p>
          <w:p w14:paraId="52EB4DE7" w14:textId="15D90D0A" w:rsidR="00D5364F" w:rsidRDefault="00D5364F" w:rsidP="003C1ADA">
            <w:pPr>
              <w:pStyle w:val="Agreement"/>
              <w:tabs>
                <w:tab w:val="clear" w:pos="1619"/>
                <w:tab w:val="num" w:pos="1298"/>
              </w:tabs>
              <w:ind w:left="589"/>
            </w:pPr>
            <w:r>
              <w:t>RAN2 understanding is that the data that has been already reported in the DSR should not trigger another DSR</w:t>
            </w:r>
          </w:p>
          <w:p w14:paraId="6C2A9E6C" w14:textId="0C38C49E" w:rsidR="00D5364F" w:rsidRPr="00D5364F" w:rsidRDefault="00D5364F" w:rsidP="00D5364F">
            <w:pPr>
              <w:pStyle w:val="Agreement"/>
              <w:tabs>
                <w:tab w:val="clear" w:pos="1619"/>
                <w:tab w:val="num" w:pos="1298"/>
              </w:tabs>
              <w:ind w:left="589"/>
            </w:pPr>
            <w:r w:rsidRPr="00223EE2">
              <w:t xml:space="preserve">The existing cancelling and triggering of Rel-18 DSR </w:t>
            </w:r>
            <w:proofErr w:type="gramStart"/>
            <w:r w:rsidRPr="00223EE2">
              <w:t>is</w:t>
            </w:r>
            <w:proofErr w:type="gramEnd"/>
            <w:r w:rsidRPr="00223EE2">
              <w:t xml:space="preserve"> reused for the enhanced DSR</w:t>
            </w:r>
            <w:r>
              <w:t>.</w:t>
            </w:r>
          </w:p>
          <w:p w14:paraId="256DAD39" w14:textId="77777777" w:rsidR="00D5364F" w:rsidRPr="00D5364F" w:rsidRDefault="00D5364F" w:rsidP="00D5364F">
            <w:pPr>
              <w:pStyle w:val="Doc-text2"/>
            </w:pPr>
          </w:p>
          <w:p w14:paraId="4C545807" w14:textId="77777777" w:rsidR="00D5364F" w:rsidRDefault="00D5364F" w:rsidP="00D5364F">
            <w:pPr>
              <w:pStyle w:val="Doc-text2"/>
              <w:ind w:left="0" w:firstLine="0"/>
              <w:rPr>
                <w:b/>
              </w:rPr>
            </w:pPr>
            <w:r>
              <w:rPr>
                <w:b/>
              </w:rPr>
              <w:t>Non-delay critical data ahead in the queue</w:t>
            </w:r>
          </w:p>
          <w:p w14:paraId="466DA887" w14:textId="77777777" w:rsidR="00D5364F" w:rsidRPr="00321E3F" w:rsidRDefault="00D5364F" w:rsidP="00D5364F">
            <w:pPr>
              <w:pStyle w:val="Agreement"/>
              <w:tabs>
                <w:tab w:val="clear" w:pos="1619"/>
                <w:tab w:val="num" w:pos="1298"/>
              </w:tabs>
              <w:ind w:left="589"/>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p w14:paraId="118F6177" w14:textId="77777777" w:rsidR="00D5364F" w:rsidRDefault="00D5364F" w:rsidP="00D5364F">
            <w:pPr>
              <w:pStyle w:val="Doc-text2"/>
              <w:ind w:left="0" w:firstLine="0"/>
            </w:pPr>
          </w:p>
        </w:tc>
      </w:tr>
    </w:tbl>
    <w:p w14:paraId="1CADA6AE" w14:textId="77777777" w:rsidR="00935ED3" w:rsidRDefault="00935ED3" w:rsidP="008B549E"/>
    <w:p w14:paraId="58D9FAC5" w14:textId="6CCDF847" w:rsidR="00D5364F" w:rsidRDefault="003C1C12" w:rsidP="008B549E">
      <w:r>
        <w:t xml:space="preserve">In this </w:t>
      </w:r>
      <w:r w:rsidR="001E6808">
        <w:t>contribution</w:t>
      </w:r>
      <w:r>
        <w:t xml:space="preserve"> we further discuss </w:t>
      </w:r>
      <w:r w:rsidR="00245FC4">
        <w:t>remaining issues on DSR</w:t>
      </w:r>
      <w:r w:rsidR="001858A5">
        <w:t>.</w:t>
      </w:r>
      <w:r>
        <w:t xml:space="preserve"> </w:t>
      </w:r>
    </w:p>
    <w:p w14:paraId="2F0575B0" w14:textId="697B720C" w:rsidR="008B549E" w:rsidRPr="006E13D1" w:rsidRDefault="008B549E" w:rsidP="008B549E">
      <w:pPr>
        <w:pStyle w:val="Heading1"/>
      </w:pPr>
      <w:r w:rsidRPr="006E13D1">
        <w:t>2</w:t>
      </w:r>
      <w:r w:rsidRPr="006E13D1">
        <w:tab/>
      </w:r>
      <w:r w:rsidR="0041350C">
        <w:t>Discussion</w:t>
      </w:r>
    </w:p>
    <w:p w14:paraId="7F80A425" w14:textId="7F63E037" w:rsidR="008B549E" w:rsidRPr="006E13D1" w:rsidRDefault="008B549E" w:rsidP="008B549E">
      <w:pPr>
        <w:pStyle w:val="Heading2"/>
      </w:pPr>
      <w:r>
        <w:t>2</w:t>
      </w:r>
      <w:r w:rsidRPr="006E13D1">
        <w:t>.1</w:t>
      </w:r>
      <w:r w:rsidRPr="006E13D1">
        <w:tab/>
      </w:r>
      <w:r w:rsidR="00DC2B3A">
        <w:t>Thresholds Configuration</w:t>
      </w:r>
    </w:p>
    <w:p w14:paraId="5E7BF765" w14:textId="1D1F1625" w:rsidR="00777639" w:rsidRDefault="00C46457" w:rsidP="00A85AC3">
      <w:pPr>
        <w:jc w:val="both"/>
      </w:pPr>
      <w:r>
        <w:rPr>
          <w:iCs/>
        </w:rPr>
        <w:t>Multiple reporting thresholds has been agreed for Rel-19, but it</w:t>
      </w:r>
      <w:r w:rsidR="00245FC4">
        <w:rPr>
          <w:iCs/>
        </w:rPr>
        <w:t xml:space="preserve"> has not been decided</w:t>
      </w:r>
      <w:r w:rsidR="00150291">
        <w:rPr>
          <w:iCs/>
        </w:rPr>
        <w:t xml:space="preserve"> is whether </w:t>
      </w:r>
      <w:r w:rsidR="00245FC4">
        <w:rPr>
          <w:iCs/>
        </w:rPr>
        <w:t xml:space="preserve">the Rel-19 </w:t>
      </w:r>
      <w:r w:rsidR="00712264">
        <w:rPr>
          <w:iCs/>
        </w:rPr>
        <w:t>reporting threshold</w:t>
      </w:r>
      <w:r w:rsidR="00245FC4">
        <w:rPr>
          <w:iCs/>
        </w:rPr>
        <w:t xml:space="preserve"> </w:t>
      </w:r>
      <w:r w:rsidR="00C0363C">
        <w:rPr>
          <w:iCs/>
        </w:rPr>
        <w:t xml:space="preserve">parameter </w:t>
      </w:r>
      <w:r w:rsidR="00245FC4">
        <w:rPr>
          <w:iCs/>
        </w:rPr>
        <w:t>c</w:t>
      </w:r>
      <w:r w:rsidR="00C0363C">
        <w:rPr>
          <w:iCs/>
        </w:rPr>
        <w:t xml:space="preserve">ould also be used in case </w:t>
      </w:r>
      <w:r w:rsidR="00290283">
        <w:rPr>
          <w:iCs/>
        </w:rPr>
        <w:t>of single reporting threshold</w:t>
      </w:r>
      <w:proofErr w:type="gramStart"/>
      <w:r w:rsidR="00290283">
        <w:rPr>
          <w:iCs/>
        </w:rPr>
        <w:t xml:space="preserve">, </w:t>
      </w:r>
      <w:r w:rsidR="0096672E">
        <w:rPr>
          <w:iCs/>
        </w:rPr>
        <w:t>.</w:t>
      </w:r>
      <w:proofErr w:type="gramEnd"/>
      <w:r w:rsidR="0096672E">
        <w:rPr>
          <w:iCs/>
        </w:rPr>
        <w:t xml:space="preserve"> </w:t>
      </w:r>
      <w:r w:rsidR="00F978A3">
        <w:t xml:space="preserve">In our views, </w:t>
      </w:r>
      <w:r w:rsidR="00A3212C">
        <w:t xml:space="preserve">allowing </w:t>
      </w:r>
      <w:r w:rsidR="00F857CD">
        <w:t xml:space="preserve">the </w:t>
      </w:r>
      <w:r w:rsidR="002127C6">
        <w:t xml:space="preserve">Rel-19 </w:t>
      </w:r>
      <w:r w:rsidR="005E2629">
        <w:t>parameter</w:t>
      </w:r>
      <w:r w:rsidR="00BF5F3F">
        <w:t xml:space="preserve"> </w:t>
      </w:r>
      <w:r w:rsidR="00A3212C">
        <w:t>to be</w:t>
      </w:r>
      <w:r w:rsidR="002127C6">
        <w:t xml:space="preserve"> </w:t>
      </w:r>
      <w:r w:rsidR="00A3212C">
        <w:t xml:space="preserve">appliable </w:t>
      </w:r>
      <w:r w:rsidR="00C844E0">
        <w:t>for</w:t>
      </w:r>
      <w:r w:rsidR="005E2629">
        <w:t xml:space="preserve"> </w:t>
      </w:r>
      <w:r w:rsidR="0096672E">
        <w:t xml:space="preserve">both </w:t>
      </w:r>
      <w:r w:rsidR="00BB76B3">
        <w:t>single and multiple reporting thresholds</w:t>
      </w:r>
      <w:r w:rsidR="00A3212C">
        <w:t xml:space="preserve"> </w:t>
      </w:r>
      <w:r w:rsidR="00546E9E">
        <w:t>enable</w:t>
      </w:r>
      <w:r w:rsidR="00392BFF">
        <w:t>s</w:t>
      </w:r>
      <w:r w:rsidR="00546E9E">
        <w:t xml:space="preserve"> a more flexible </w:t>
      </w:r>
      <w:r w:rsidR="00753419">
        <w:t xml:space="preserve">configuration where the threshold </w:t>
      </w:r>
      <w:r w:rsidR="00777639">
        <w:t>for reporting delay critical data and the threshold for triggering DSR reporting can be configured to be different also in case of single reporting threshold</w:t>
      </w:r>
      <w:r w:rsidR="002127C6">
        <w:t>.</w:t>
      </w:r>
    </w:p>
    <w:p w14:paraId="4579400B" w14:textId="3412BD89" w:rsidR="00777639" w:rsidRDefault="00777639" w:rsidP="00A85AC3">
      <w:pPr>
        <w:jc w:val="both"/>
      </w:pPr>
      <w:r w:rsidRPr="006B006A">
        <w:rPr>
          <w:b/>
        </w:rPr>
        <w:t>Proposal 1</w:t>
      </w:r>
      <w:r w:rsidRPr="006B006A">
        <w:t xml:space="preserve">: </w:t>
      </w:r>
      <w:r>
        <w:t xml:space="preserve">the </w:t>
      </w:r>
      <w:r w:rsidR="00D4464D">
        <w:rPr>
          <w:iCs/>
        </w:rPr>
        <w:t>Rel-19 DSR reporting threshold parameter could be</w:t>
      </w:r>
      <w:r>
        <w:t xml:space="preserve"> used to configure single </w:t>
      </w:r>
      <w:r w:rsidR="003F38E2">
        <w:t>or</w:t>
      </w:r>
      <w:r>
        <w:t xml:space="preserve"> multiple reporting thresholds</w:t>
      </w:r>
      <w:r w:rsidRPr="006B006A">
        <w:t>.</w:t>
      </w:r>
    </w:p>
    <w:p w14:paraId="3392ECE8" w14:textId="7E95C97E" w:rsidR="00B60772" w:rsidRDefault="00BC469A" w:rsidP="00A85AC3">
      <w:pPr>
        <w:jc w:val="both"/>
        <w:rPr>
          <w:lang w:val="en-US"/>
        </w:rPr>
      </w:pPr>
      <w:r>
        <w:rPr>
          <w:lang w:val="en-US"/>
        </w:rPr>
        <w:t xml:space="preserve">If </w:t>
      </w:r>
      <w:r w:rsidR="00EE41BE">
        <w:rPr>
          <w:lang w:val="en-US"/>
        </w:rPr>
        <w:t>t</w:t>
      </w:r>
      <w:r w:rsidR="00085CF8">
        <w:rPr>
          <w:lang w:val="en-US"/>
        </w:rPr>
        <w:t>he</w:t>
      </w:r>
      <w:r w:rsidR="00B60772">
        <w:rPr>
          <w:lang w:val="en-US"/>
        </w:rPr>
        <w:t xml:space="preserve"> </w:t>
      </w:r>
      <w:r w:rsidR="00D15A2E">
        <w:rPr>
          <w:lang w:val="en-US"/>
        </w:rPr>
        <w:t>R bit in RT octet</w:t>
      </w:r>
      <w:r w:rsidR="000F1E7E">
        <w:rPr>
          <w:lang w:val="en-US"/>
        </w:rPr>
        <w:t xml:space="preserve"> is used </w:t>
      </w:r>
      <w:r w:rsidR="00F92861">
        <w:rPr>
          <w:lang w:val="en-US"/>
        </w:rPr>
        <w:t>to indicate whether there is a further BS/RT pair following for the LCG</w:t>
      </w:r>
      <w:r w:rsidR="0027749E">
        <w:rPr>
          <w:lang w:val="en-US"/>
        </w:rPr>
        <w:t xml:space="preserve">, </w:t>
      </w:r>
      <w:r w:rsidR="00B60772">
        <w:rPr>
          <w:lang w:val="en-US"/>
        </w:rPr>
        <w:t xml:space="preserve">the new DSR format </w:t>
      </w:r>
      <w:r w:rsidR="001D7910">
        <w:rPr>
          <w:lang w:val="en-US"/>
        </w:rPr>
        <w:t xml:space="preserve">could also be used </w:t>
      </w:r>
      <w:r w:rsidR="00B60772">
        <w:rPr>
          <w:lang w:val="en-US"/>
        </w:rPr>
        <w:t>even if there is only one entry for each LCG</w:t>
      </w:r>
      <w:r w:rsidR="00F07C9C">
        <w:rPr>
          <w:lang w:val="en-US"/>
        </w:rPr>
        <w:t xml:space="preserve">, </w:t>
      </w:r>
      <w:r w:rsidR="00B60772">
        <w:rPr>
          <w:lang w:val="en-US"/>
        </w:rPr>
        <w:t xml:space="preserve">or only the LCGs configured with legacy single threshold are to be reported. </w:t>
      </w:r>
      <w:r w:rsidR="00BD5910">
        <w:rPr>
          <w:lang w:val="en-US"/>
        </w:rPr>
        <w:t xml:space="preserve">Always being able to </w:t>
      </w:r>
      <w:r w:rsidR="00B60772">
        <w:rPr>
          <w:lang w:val="en-US"/>
        </w:rPr>
        <w:t xml:space="preserve">use the new DSR format </w:t>
      </w:r>
      <w:proofErr w:type="gramStart"/>
      <w:r w:rsidR="00B60772">
        <w:rPr>
          <w:lang w:val="en-US"/>
        </w:rPr>
        <w:t>as long as</w:t>
      </w:r>
      <w:proofErr w:type="gramEnd"/>
      <w:r w:rsidR="00B60772">
        <w:rPr>
          <w:lang w:val="en-US"/>
        </w:rPr>
        <w:t xml:space="preserve"> there is any LCG configured with multiple reporting thresholds </w:t>
      </w:r>
      <w:r w:rsidR="00F67133">
        <w:rPr>
          <w:lang w:val="en-US"/>
        </w:rPr>
        <w:t>may also</w:t>
      </w:r>
      <w:r w:rsidR="00E9113B">
        <w:rPr>
          <w:lang w:val="en-US"/>
        </w:rPr>
        <w:t xml:space="preserve"> simplify the DSR selection </w:t>
      </w:r>
      <w:r w:rsidR="00B60772">
        <w:rPr>
          <w:lang w:val="en-US"/>
        </w:rPr>
        <w:t>without extra overhead.</w:t>
      </w:r>
    </w:p>
    <w:p w14:paraId="26974C43" w14:textId="260E7F58" w:rsidR="00B60772" w:rsidRDefault="00B60772" w:rsidP="00574BED">
      <w:pPr>
        <w:rPr>
          <w:lang w:val="en-US"/>
        </w:rPr>
      </w:pPr>
      <w:r w:rsidRPr="00411371">
        <w:rPr>
          <w:b/>
          <w:bCs/>
          <w:lang w:val="en-US"/>
        </w:rPr>
        <w:t xml:space="preserve">Proposal </w:t>
      </w:r>
      <w:r>
        <w:rPr>
          <w:b/>
          <w:bCs/>
          <w:lang w:val="en-US"/>
        </w:rPr>
        <w:t>2</w:t>
      </w:r>
      <w:r>
        <w:rPr>
          <w:lang w:val="en-US"/>
        </w:rPr>
        <w:t xml:space="preserve">: for each reported BS/RT entry, an extension bit </w:t>
      </w:r>
      <w:r w:rsidR="004F0A0A">
        <w:rPr>
          <w:lang w:val="en-US"/>
        </w:rPr>
        <w:t xml:space="preserve">(the R bit in RT octet) </w:t>
      </w:r>
      <w:r>
        <w:rPr>
          <w:lang w:val="en-US"/>
        </w:rPr>
        <w:t xml:space="preserve">is used to indicate whether there is </w:t>
      </w:r>
      <w:r w:rsidR="007916B9">
        <w:rPr>
          <w:lang w:val="en-US"/>
        </w:rPr>
        <w:t xml:space="preserve">a </w:t>
      </w:r>
      <w:r>
        <w:rPr>
          <w:lang w:val="en-US"/>
        </w:rPr>
        <w:t>further BS/RT pair following for the LCG.</w:t>
      </w:r>
    </w:p>
    <w:p w14:paraId="0B436554" w14:textId="22C16AC1" w:rsidR="00B60772" w:rsidRDefault="00B60772" w:rsidP="00F75C42">
      <w:pPr>
        <w:jc w:val="both"/>
        <w:rPr>
          <w:lang w:val="en-US"/>
        </w:rPr>
      </w:pPr>
      <w:r w:rsidRPr="00411371">
        <w:rPr>
          <w:b/>
          <w:bCs/>
          <w:lang w:val="en-US"/>
        </w:rPr>
        <w:t xml:space="preserve">Proposal </w:t>
      </w:r>
      <w:r>
        <w:rPr>
          <w:b/>
          <w:bCs/>
          <w:lang w:val="en-US"/>
        </w:rPr>
        <w:t>3</w:t>
      </w:r>
      <w:r>
        <w:rPr>
          <w:lang w:val="en-US"/>
        </w:rPr>
        <w:t xml:space="preserve">: </w:t>
      </w:r>
      <w:r w:rsidR="00A3088D">
        <w:rPr>
          <w:lang w:val="en-US"/>
        </w:rPr>
        <w:t>the</w:t>
      </w:r>
      <w:r>
        <w:rPr>
          <w:lang w:val="en-US"/>
        </w:rPr>
        <w:t xml:space="preserve"> Rel-19 DSR format is used when there is any LCG configured with multiple reporting thresholds since there is no overhead difference from legacy DSR even if all the LCGs are with single entry.</w:t>
      </w:r>
    </w:p>
    <w:p w14:paraId="27B10929" w14:textId="599B83E9" w:rsidR="0003047C" w:rsidRDefault="0003047C" w:rsidP="0003047C">
      <w:pPr>
        <w:pStyle w:val="Heading2"/>
      </w:pPr>
      <w:r w:rsidRPr="006B006A">
        <w:lastRenderedPageBreak/>
        <w:t>2.2</w:t>
      </w:r>
      <w:r w:rsidRPr="006B006A">
        <w:tab/>
      </w:r>
      <w:r>
        <w:t>Impact on BSR</w:t>
      </w:r>
    </w:p>
    <w:p w14:paraId="0179D6C8" w14:textId="2E941423" w:rsidR="0003047C" w:rsidRDefault="0008077A" w:rsidP="0003047C">
      <w:r>
        <w:t>Wit</w:t>
      </w:r>
      <w:r w:rsidR="00302CC8">
        <w:t xml:space="preserve">h current design of allowing </w:t>
      </w:r>
      <w:r w:rsidR="000729D0">
        <w:t xml:space="preserve">independent configuration of the DSR triggering threshold and reporting threshold, the NW has the flexibility </w:t>
      </w:r>
      <w:r w:rsidR="00592213">
        <w:t>of</w:t>
      </w:r>
      <w:r w:rsidR="000729D0">
        <w:t xml:space="preserve"> configur</w:t>
      </w:r>
      <w:r w:rsidR="00592213">
        <w:t>ing</w:t>
      </w:r>
      <w:r w:rsidR="000729D0">
        <w:t xml:space="preserve"> DSR to report buffer status of non-delay critical data as well which was covered by BSR in Rel-18.</w:t>
      </w:r>
      <w:r w:rsidR="00592213">
        <w:t xml:space="preserve"> It would make sense to allow the NW to disable BSR for the LCH if DSR already serve the purpose</w:t>
      </w:r>
      <w:r w:rsidR="000A000D">
        <w:t xml:space="preserve"> or the UE should take care of cancellation of the BSR if DSR already includes the full buffer status to</w:t>
      </w:r>
      <w:r w:rsidR="006F5F1A">
        <w:t xml:space="preserve"> avoid unnecessary overhead with duplicated information.</w:t>
      </w:r>
    </w:p>
    <w:p w14:paraId="75002649" w14:textId="2AD9646B" w:rsidR="00321349" w:rsidRDefault="000A000D" w:rsidP="0003047C">
      <w:r w:rsidRPr="00574BED">
        <w:rPr>
          <w:b/>
        </w:rPr>
        <w:t>Proposal 4</w:t>
      </w:r>
      <w:r>
        <w:t xml:space="preserve">: </w:t>
      </w:r>
      <w:r w:rsidR="00DD1309">
        <w:t xml:space="preserve">To avoid double reporting </w:t>
      </w:r>
      <w:r w:rsidR="00321349">
        <w:t xml:space="preserve">with BSR and DSR, </w:t>
      </w:r>
      <w:r w:rsidR="003F38E2">
        <w:t xml:space="preserve">one of </w:t>
      </w:r>
      <w:r w:rsidR="00321349">
        <w:t>the following options could be considered:</w:t>
      </w:r>
    </w:p>
    <w:p w14:paraId="3AABCE20" w14:textId="52BD3E56" w:rsidR="00321349" w:rsidRDefault="00321349" w:rsidP="00321349">
      <w:pPr>
        <w:ind w:firstLine="284"/>
      </w:pPr>
      <w:r>
        <w:t xml:space="preserve">Option 1: </w:t>
      </w:r>
      <w:r w:rsidR="00552B01">
        <w:t>The signalling design should allow</w:t>
      </w:r>
      <w:r w:rsidR="00F573F3">
        <w:t xml:space="preserve"> to disable BSR and enable DSR only for </w:t>
      </w:r>
      <w:r w:rsidR="00675FF1">
        <w:rPr>
          <w:rFonts w:hint="eastAsia"/>
          <w:lang w:eastAsia="zh-CN"/>
        </w:rPr>
        <w:t>an</w:t>
      </w:r>
      <w:r w:rsidR="00F573F3">
        <w:t xml:space="preserve"> LCH</w:t>
      </w:r>
      <w:r w:rsidR="00BF0868">
        <w:t>/LCG</w:t>
      </w:r>
      <w:r w:rsidR="00F573F3">
        <w:t>;</w:t>
      </w:r>
    </w:p>
    <w:p w14:paraId="116AF4E2" w14:textId="405FA01B" w:rsidR="00321349" w:rsidRPr="0003047C" w:rsidRDefault="00321349" w:rsidP="00574BED">
      <w:pPr>
        <w:ind w:firstLine="284"/>
      </w:pPr>
      <w:r>
        <w:t xml:space="preserve">Option 2: </w:t>
      </w:r>
      <w:r w:rsidR="00552B01">
        <w:t>the UE cancels BSR if DSR already includes full buffer status for all the LCGs.</w:t>
      </w:r>
    </w:p>
    <w:p w14:paraId="6394123B" w14:textId="3D2297D2" w:rsidR="008B549E" w:rsidRPr="006B006A" w:rsidRDefault="008B549E" w:rsidP="008B549E">
      <w:pPr>
        <w:pStyle w:val="Heading2"/>
      </w:pPr>
      <w:r w:rsidRPr="006B006A">
        <w:t>2.</w:t>
      </w:r>
      <w:r w:rsidR="0003047C">
        <w:t>3</w:t>
      </w:r>
      <w:r w:rsidRPr="006B006A">
        <w:tab/>
      </w:r>
      <w:proofErr w:type="gramStart"/>
      <w:r w:rsidR="006B006A" w:rsidRPr="006B006A">
        <w:t>N</w:t>
      </w:r>
      <w:r w:rsidR="00F1437A" w:rsidRPr="006B006A">
        <w:t>on-delay</w:t>
      </w:r>
      <w:proofErr w:type="gramEnd"/>
      <w:r w:rsidR="006B006A" w:rsidRPr="006B006A">
        <w:t xml:space="preserve"> critical data ahead in the queue</w:t>
      </w:r>
    </w:p>
    <w:p w14:paraId="787CAE67" w14:textId="6B0382FC" w:rsidR="00E11EAE" w:rsidRDefault="00570E72" w:rsidP="00570E72">
      <w:pPr>
        <w:jc w:val="both"/>
      </w:pPr>
      <w:r>
        <w:t xml:space="preserve">Regarding non-delay critical data ahead of </w:t>
      </w:r>
      <w:r w:rsidR="00665EB2">
        <w:t xml:space="preserve">delay critical data in </w:t>
      </w:r>
      <w:r>
        <w:t xml:space="preserve">the queue, </w:t>
      </w:r>
      <w:r w:rsidR="00E11EAE">
        <w:t xml:space="preserve">it was agreed in RAN2#128 </w:t>
      </w:r>
      <w:r w:rsidR="007F09B0">
        <w:t xml:space="preserve">that the </w:t>
      </w:r>
      <w:r w:rsidR="00E11EAE">
        <w:t xml:space="preserve">UE may support </w:t>
      </w:r>
      <w:r w:rsidR="007F09B0">
        <w:t xml:space="preserve">(UE capability) </w:t>
      </w:r>
      <w:r w:rsidR="00E11EAE">
        <w:t xml:space="preserve">including </w:t>
      </w:r>
      <w:r w:rsidR="00E11EAE" w:rsidRPr="008729D1">
        <w:t xml:space="preserve">non-delay critical data ahead of delay critical data in the buffer </w:t>
      </w:r>
      <w:r w:rsidR="00E11EAE">
        <w:t xml:space="preserve">size calculation </w:t>
      </w:r>
      <w:r w:rsidR="00E11EAE" w:rsidRPr="008729D1">
        <w:t>for DSR</w:t>
      </w:r>
      <w:r w:rsidR="00665EB2">
        <w:t>,</w:t>
      </w:r>
      <w:r w:rsidR="007F09B0">
        <w:t xml:space="preserve"> </w:t>
      </w:r>
      <w:r w:rsidR="00E11EAE">
        <w:t>which is a capability indicated to the NW</w:t>
      </w:r>
      <w:r w:rsidR="007F09B0">
        <w:t xml:space="preserve">. </w:t>
      </w:r>
    </w:p>
    <w:p w14:paraId="4F503B66" w14:textId="56D1533B" w:rsidR="00BE0C74" w:rsidRDefault="00BE0C74" w:rsidP="00570E72">
      <w:pPr>
        <w:jc w:val="both"/>
      </w:pPr>
      <w:r>
        <w:t xml:space="preserve">However, </w:t>
      </w:r>
      <w:r w:rsidR="00665EB2">
        <w:t>t</w:t>
      </w:r>
      <w:r w:rsidR="00BC1B04">
        <w:t xml:space="preserve">he Rel-19 </w:t>
      </w:r>
      <w:r>
        <w:t>DSR</w:t>
      </w:r>
      <w:r w:rsidR="00BC1B04">
        <w:t xml:space="preserve"> </w:t>
      </w:r>
      <w:r w:rsidR="006F50DE">
        <w:t xml:space="preserve">may also </w:t>
      </w:r>
      <w:r w:rsidR="001021BA">
        <w:t xml:space="preserve">report </w:t>
      </w:r>
      <w:r w:rsidR="00BC1B04">
        <w:t>no</w:t>
      </w:r>
      <w:r w:rsidR="001021BA">
        <w:t>n-delay critical data since the triggering threshold</w:t>
      </w:r>
      <w:r w:rsidR="00665EB2">
        <w:t xml:space="preserve">, </w:t>
      </w:r>
      <w:r w:rsidR="002D119B">
        <w:t xml:space="preserve">which is also used for determining if the data is delay critical, may be </w:t>
      </w:r>
      <w:r w:rsidR="0028398B">
        <w:t xml:space="preserve">lower than at least one of the reporting thresholds. </w:t>
      </w:r>
    </w:p>
    <w:p w14:paraId="71C18F49" w14:textId="43DDAC55" w:rsidR="0028398B" w:rsidRDefault="0028398B" w:rsidP="00570E72">
      <w:pPr>
        <w:jc w:val="both"/>
      </w:pPr>
      <w:r>
        <w:t>Therefore</w:t>
      </w:r>
      <w:r w:rsidR="000E180D">
        <w:t xml:space="preserve">, </w:t>
      </w:r>
      <w:r>
        <w:t xml:space="preserve">the </w:t>
      </w:r>
      <w:r w:rsidR="00470A60">
        <w:t xml:space="preserve">RAN#128 </w:t>
      </w:r>
      <w:r>
        <w:t xml:space="preserve">agreement </w:t>
      </w:r>
      <w:r w:rsidR="00237394">
        <w:t xml:space="preserve">on </w:t>
      </w:r>
      <w:r w:rsidRPr="008729D1">
        <w:t>non-delay critical data ahead of delay critical data</w:t>
      </w:r>
      <w:r>
        <w:t xml:space="preserve"> should be generalized </w:t>
      </w:r>
      <w:r w:rsidR="00470A60">
        <w:t xml:space="preserve">to </w:t>
      </w:r>
      <w:r w:rsidR="00470A60" w:rsidRPr="008729D1">
        <w:t xml:space="preserve">non-delay critical data ahead of </w:t>
      </w:r>
      <w:r w:rsidR="00470A60">
        <w:t>non</w:t>
      </w:r>
      <w:r w:rsidR="009E7206">
        <w:t>-</w:t>
      </w:r>
      <w:r w:rsidR="00470A60" w:rsidRPr="008729D1">
        <w:t>delay critical</w:t>
      </w:r>
      <w:r w:rsidR="009E7206">
        <w:t>. E.g.</w:t>
      </w:r>
      <w:r w:rsidR="008F4FF2">
        <w:t>,</w:t>
      </w:r>
      <w:r w:rsidR="009E7206">
        <w:t xml:space="preserve"> </w:t>
      </w:r>
      <w:r w:rsidR="00237394">
        <w:t xml:space="preserve">the </w:t>
      </w:r>
      <w:r w:rsidR="00F27E94">
        <w:t xml:space="preserve">buffer size calculation for </w:t>
      </w:r>
      <w:r w:rsidR="009E7206">
        <w:t xml:space="preserve">a </w:t>
      </w:r>
      <w:r w:rsidR="00237394">
        <w:t xml:space="preserve">given </w:t>
      </w:r>
      <w:r w:rsidR="00F27E94">
        <w:t xml:space="preserve">remaining time </w:t>
      </w:r>
      <w:r w:rsidR="00F27E94" w:rsidRPr="00E274EA">
        <w:t>range</w:t>
      </w:r>
      <w:r w:rsidR="00F27E94">
        <w:t xml:space="preserve"> </w:t>
      </w:r>
      <w:r w:rsidR="00237394">
        <w:t>should also</w:t>
      </w:r>
      <w:r w:rsidR="00470A60">
        <w:t xml:space="preserve"> </w:t>
      </w:r>
      <w:r w:rsidR="00F27E94">
        <w:t xml:space="preserve">include </w:t>
      </w:r>
      <w:r w:rsidR="000E180D">
        <w:t xml:space="preserve">data that is ahead of </w:t>
      </w:r>
      <w:r w:rsidR="00642D9A">
        <w:t xml:space="preserve">any PDU </w:t>
      </w:r>
      <w:r w:rsidR="000E180D">
        <w:t xml:space="preserve">whose associated remaining time is </w:t>
      </w:r>
      <w:r w:rsidR="005B5013">
        <w:t xml:space="preserve">within the reported remaining time </w:t>
      </w:r>
      <w:r w:rsidR="005B5013" w:rsidRPr="00E274EA">
        <w:t>range</w:t>
      </w:r>
      <w:r w:rsidR="00260F87">
        <w:t>.</w:t>
      </w:r>
    </w:p>
    <w:p w14:paraId="733CA394" w14:textId="205B67F4" w:rsidR="00570E72" w:rsidRPr="00BD0EEA" w:rsidRDefault="00570E72" w:rsidP="00570E72">
      <w:pPr>
        <w:jc w:val="both"/>
      </w:pPr>
      <w:r w:rsidRPr="0025229E">
        <w:t xml:space="preserve">To </w:t>
      </w:r>
      <w:r w:rsidR="005B5013">
        <w:t xml:space="preserve">better </w:t>
      </w:r>
      <w:r w:rsidRPr="0025229E">
        <w:t>illustrate this, let</w:t>
      </w:r>
      <w:r>
        <w:t>’</w:t>
      </w:r>
      <w:r w:rsidRPr="0025229E">
        <w:t xml:space="preserve">s consider an example where data belonging to different PDU sets </w:t>
      </w:r>
      <w:r>
        <w:t>(PDU set#0, #1, and #2 in Figure2.</w:t>
      </w:r>
      <w:r w:rsidDel="001E0250">
        <w:t>2-1)</w:t>
      </w:r>
      <w:r w:rsidRPr="0025229E" w:rsidDel="001E0250">
        <w:t xml:space="preserve"> </w:t>
      </w:r>
      <w:r w:rsidRPr="0025229E">
        <w:t xml:space="preserve">arrive in the UE buffer interlaced. </w:t>
      </w:r>
      <w:r>
        <w:t xml:space="preserve">We assume that PDU set based discard </w:t>
      </w:r>
      <w:r w:rsidRPr="0023777C">
        <w:t>(pdu-SetDiscard-r18)</w:t>
      </w:r>
      <w:r>
        <w:t xml:space="preserve"> is configured.</w:t>
      </w:r>
    </w:p>
    <w:p w14:paraId="785C50E2" w14:textId="77777777" w:rsidR="00570E72" w:rsidRDefault="00570E72" w:rsidP="00570E72">
      <w:pPr>
        <w:pStyle w:val="TF"/>
      </w:pPr>
      <w:r>
        <w:rPr>
          <w:noProof/>
        </w:rPr>
        <w:drawing>
          <wp:inline distT="0" distB="0" distL="0" distR="0" wp14:anchorId="2E65BC16" wp14:editId="0F5312DC">
            <wp:extent cx="6110449" cy="3420000"/>
            <wp:effectExtent l="0" t="0" r="0" b="9525"/>
            <wp:docPr id="14434744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474420"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0449" cy="3420000"/>
                    </a:xfrm>
                    <a:prstGeom prst="rect">
                      <a:avLst/>
                    </a:prstGeom>
                    <a:noFill/>
                  </pic:spPr>
                </pic:pic>
              </a:graphicData>
            </a:graphic>
          </wp:inline>
        </w:drawing>
      </w:r>
    </w:p>
    <w:p w14:paraId="0897F281" w14:textId="77777777" w:rsidR="00570E72" w:rsidRDefault="00570E72" w:rsidP="00570E72">
      <w:pPr>
        <w:pStyle w:val="TF"/>
      </w:pPr>
      <w:r w:rsidRPr="006E13D1">
        <w:t xml:space="preserve">Figure </w:t>
      </w:r>
      <w:r>
        <w:t>2.2-1</w:t>
      </w:r>
      <w:r w:rsidRPr="006E13D1">
        <w:t xml:space="preserve">: </w:t>
      </w:r>
      <w:r w:rsidRPr="0025229E">
        <w:t>DSR with low-importance and high</w:t>
      </w:r>
      <w:r>
        <w:t>-</w:t>
      </w:r>
      <w:r w:rsidRPr="0025229E">
        <w:t>importance data  </w:t>
      </w:r>
    </w:p>
    <w:p w14:paraId="483EF0D7" w14:textId="55A786EF" w:rsidR="00570E72" w:rsidRDefault="00570E72" w:rsidP="00570E72">
      <w:pPr>
        <w:jc w:val="both"/>
      </w:pPr>
      <w:r>
        <w:t xml:space="preserve">In the example, the UE is configured with </w:t>
      </w:r>
      <w:r w:rsidR="002927A9">
        <w:t>3</w:t>
      </w:r>
      <w:r>
        <w:t xml:space="preserve"> reporting thresholds: </w:t>
      </w:r>
      <m:oMath>
        <m:sSub>
          <m:sSubPr>
            <m:ctrlPr>
              <w:rPr>
                <w:rFonts w:ascii="Cambria Math" w:hAnsi="Cambria Math"/>
                <w:i/>
              </w:rPr>
            </m:ctrlPr>
          </m:sSubPr>
          <m:e>
            <m:r>
              <w:rPr>
                <w:rFonts w:ascii="Cambria Math" w:hAnsi="Cambria Math"/>
              </w:rPr>
              <m:t>RT</m:t>
            </m:r>
          </m:e>
          <m:sub>
            <m:r>
              <w:rPr>
                <w:rFonts w:ascii="Cambria Math" w:hAnsi="Cambria Math"/>
              </w:rPr>
              <m:t>T0</m:t>
            </m:r>
          </m:sub>
        </m:sSub>
      </m:oMath>
      <w:r>
        <w:t xml:space="preserve">, </w:t>
      </w:r>
      <m:oMath>
        <m:sSub>
          <m:sSubPr>
            <m:ctrlPr>
              <w:rPr>
                <w:rFonts w:ascii="Cambria Math" w:hAnsi="Cambria Math"/>
                <w:i/>
              </w:rPr>
            </m:ctrlPr>
          </m:sSubPr>
          <m:e>
            <m:r>
              <w:rPr>
                <w:rFonts w:ascii="Cambria Math" w:hAnsi="Cambria Math"/>
              </w:rPr>
              <m:t>RT</m:t>
            </m:r>
          </m:e>
          <m:sub>
            <m:r>
              <w:rPr>
                <w:rFonts w:ascii="Cambria Math" w:hAnsi="Cambria Math"/>
              </w:rPr>
              <m:t>T1</m:t>
            </m:r>
          </m:sub>
        </m:sSub>
      </m:oMath>
      <w:r>
        <w:t xml:space="preserve"> and </w:t>
      </w:r>
      <m:oMath>
        <m:sSub>
          <m:sSubPr>
            <m:ctrlPr>
              <w:rPr>
                <w:rFonts w:ascii="Cambria Math" w:hAnsi="Cambria Math"/>
                <w:i/>
              </w:rPr>
            </m:ctrlPr>
          </m:sSubPr>
          <m:e>
            <m:r>
              <w:rPr>
                <w:rFonts w:ascii="Cambria Math" w:hAnsi="Cambria Math"/>
              </w:rPr>
              <m:t>RT</m:t>
            </m:r>
          </m:e>
          <m:sub>
            <m:r>
              <w:rPr>
                <w:rFonts w:ascii="Cambria Math" w:hAnsi="Cambria Math"/>
              </w:rPr>
              <m:t>T2</m:t>
            </m:r>
          </m:sub>
        </m:sSub>
      </m:oMath>
      <w:r>
        <w:t xml:space="preserve">. The triggering threshold is assumed to be equal to </w:t>
      </w:r>
      <m:oMath>
        <m:sSub>
          <m:sSubPr>
            <m:ctrlPr>
              <w:rPr>
                <w:rFonts w:ascii="Cambria Math" w:hAnsi="Cambria Math"/>
                <w:i/>
              </w:rPr>
            </m:ctrlPr>
          </m:sSubPr>
          <m:e>
            <m:r>
              <w:rPr>
                <w:rFonts w:ascii="Cambria Math" w:hAnsi="Cambria Math"/>
              </w:rPr>
              <m:t>RT</m:t>
            </m:r>
          </m:e>
          <m:sub>
            <m:r>
              <w:rPr>
                <w:rFonts w:ascii="Cambria Math" w:hAnsi="Cambria Math"/>
              </w:rPr>
              <m:t>T0</m:t>
            </m:r>
          </m:sub>
        </m:sSub>
      </m:oMath>
      <w:r>
        <w:t xml:space="preserve">. When the DSR is triggered, there is data of PDU set #1 (i.e. PDU #4), whose associated remaining time </w:t>
      </w:r>
      <m:oMath>
        <m:sSub>
          <m:sSubPr>
            <m:ctrlPr>
              <w:rPr>
                <w:rFonts w:ascii="Cambria Math" w:hAnsi="Cambria Math"/>
                <w:i/>
              </w:rPr>
            </m:ctrlPr>
          </m:sSubPr>
          <m:e>
            <m:r>
              <w:rPr>
                <w:rFonts w:ascii="Cambria Math" w:hAnsi="Cambria Math"/>
              </w:rPr>
              <m:t>RT</m:t>
            </m:r>
          </m:e>
          <m:sub>
            <m:r>
              <w:rPr>
                <w:rFonts w:ascii="Cambria Math" w:hAnsi="Cambria Math"/>
              </w:rPr>
              <m:t>2</m:t>
            </m:r>
          </m:sub>
        </m:sSub>
      </m:oMath>
      <w:r>
        <w:t xml:space="preserve"> is in the range [</w:t>
      </w:r>
      <m:oMath>
        <m:sSub>
          <m:sSubPr>
            <m:ctrlPr>
              <w:rPr>
                <w:rFonts w:ascii="Cambria Math" w:hAnsi="Cambria Math"/>
                <w:i/>
              </w:rPr>
            </m:ctrlPr>
          </m:sSubPr>
          <m:e>
            <m:r>
              <w:rPr>
                <w:rFonts w:ascii="Cambria Math" w:hAnsi="Cambria Math"/>
              </w:rPr>
              <m:t>RT</m:t>
            </m:r>
          </m:e>
          <m:sub>
            <m:r>
              <w:rPr>
                <w:rFonts w:ascii="Cambria Math" w:hAnsi="Cambria Math"/>
              </w:rPr>
              <m:t>T0</m:t>
            </m:r>
          </m:sub>
        </m:sSub>
        <m:r>
          <w:rPr>
            <w:rFonts w:ascii="Cambria Math" w:hAnsi="Cambria Math"/>
          </w:rPr>
          <m:t xml:space="preserve">, </m:t>
        </m:r>
        <m:sSub>
          <m:sSubPr>
            <m:ctrlPr>
              <w:rPr>
                <w:rFonts w:ascii="Cambria Math" w:hAnsi="Cambria Math"/>
                <w:i/>
              </w:rPr>
            </m:ctrlPr>
          </m:sSubPr>
          <m:e>
            <m:r>
              <w:rPr>
                <w:rFonts w:ascii="Cambria Math" w:hAnsi="Cambria Math"/>
              </w:rPr>
              <m:t>RT</m:t>
            </m:r>
          </m:e>
          <m:sub>
            <m:r>
              <w:rPr>
                <w:rFonts w:ascii="Cambria Math" w:hAnsi="Cambria Math"/>
              </w:rPr>
              <m:t>T1</m:t>
            </m:r>
          </m:sub>
        </m:sSub>
      </m:oMath>
      <w:r>
        <w:t xml:space="preserve">), which is ahead of data of PDU set#0, whose associated remaining time </w:t>
      </w:r>
      <w:r w:rsidRPr="00037A44">
        <w:rPr>
          <w:rFonts w:ascii="Cambria Math" w:hAnsi="Cambria Math"/>
          <w:i/>
        </w:rPr>
        <w:br/>
      </w:r>
      <m:oMath>
        <m:sSub>
          <m:sSubPr>
            <m:ctrlPr>
              <w:rPr>
                <w:rFonts w:ascii="Cambria Math" w:hAnsi="Cambria Math"/>
                <w:i/>
              </w:rPr>
            </m:ctrlPr>
          </m:sSubPr>
          <m:e>
            <m:r>
              <w:rPr>
                <w:rFonts w:ascii="Cambria Math" w:hAnsi="Cambria Math"/>
              </w:rPr>
              <m:t>RT</m:t>
            </m:r>
          </m:e>
          <m:sub>
            <m:r>
              <w:rPr>
                <w:rFonts w:ascii="Cambria Math" w:hAnsi="Cambria Math"/>
              </w:rPr>
              <m:t>0</m:t>
            </m:r>
          </m:sub>
        </m:sSub>
      </m:oMath>
      <w:r>
        <w:rPr>
          <w:rFonts w:ascii="Cambria Math" w:hAnsi="Cambria Math"/>
          <w:i/>
        </w:rPr>
        <w:t xml:space="preserve"> </w:t>
      </w:r>
      <w:r>
        <w:t>is in the range [</w:t>
      </w:r>
      <m:oMath>
        <m:r>
          <w:rPr>
            <w:rFonts w:ascii="Cambria Math" w:hAnsi="Cambria Math"/>
          </w:rPr>
          <m:t xml:space="preserve">0, </m:t>
        </m:r>
        <m:sSub>
          <m:sSubPr>
            <m:ctrlPr>
              <w:rPr>
                <w:rFonts w:ascii="Cambria Math" w:hAnsi="Cambria Math"/>
                <w:i/>
              </w:rPr>
            </m:ctrlPr>
          </m:sSubPr>
          <m:e>
            <m:r>
              <w:rPr>
                <w:rFonts w:ascii="Cambria Math" w:hAnsi="Cambria Math"/>
              </w:rPr>
              <m:t>RT</m:t>
            </m:r>
          </m:e>
          <m:sub>
            <m:r>
              <w:rPr>
                <w:rFonts w:ascii="Cambria Math" w:hAnsi="Cambria Math"/>
              </w:rPr>
              <m:t>T0</m:t>
            </m:r>
          </m:sub>
        </m:sSub>
      </m:oMath>
      <w:r>
        <w:t>). If the data ahead of PDU #4 with remaining time larger than the remaining time of PDU #4 (i.e. PDUs #2 and #3) is not included in the BS calculation of the range [</w:t>
      </w:r>
      <m:oMath>
        <m:sSub>
          <m:sSubPr>
            <m:ctrlPr>
              <w:rPr>
                <w:rFonts w:ascii="Cambria Math" w:hAnsi="Cambria Math"/>
                <w:i/>
              </w:rPr>
            </m:ctrlPr>
          </m:sSubPr>
          <m:e>
            <m:r>
              <w:rPr>
                <w:rFonts w:ascii="Cambria Math" w:hAnsi="Cambria Math"/>
              </w:rPr>
              <m:t>RT</m:t>
            </m:r>
          </m:e>
          <m:sub>
            <m:r>
              <w:rPr>
                <w:rFonts w:ascii="Cambria Math" w:hAnsi="Cambria Math"/>
              </w:rPr>
              <m:t>T0</m:t>
            </m:r>
          </m:sub>
        </m:sSub>
        <m:r>
          <w:rPr>
            <w:rFonts w:ascii="Cambria Math" w:hAnsi="Cambria Math"/>
          </w:rPr>
          <m:t xml:space="preserve">, </m:t>
        </m:r>
        <m:sSub>
          <m:sSubPr>
            <m:ctrlPr>
              <w:rPr>
                <w:rFonts w:ascii="Cambria Math" w:hAnsi="Cambria Math"/>
                <w:i/>
              </w:rPr>
            </m:ctrlPr>
          </m:sSubPr>
          <m:e>
            <m:r>
              <w:rPr>
                <w:rFonts w:ascii="Cambria Math" w:hAnsi="Cambria Math"/>
              </w:rPr>
              <m:t>RT</m:t>
            </m:r>
          </m:e>
          <m:sub>
            <m:r>
              <w:rPr>
                <w:rFonts w:ascii="Cambria Math" w:hAnsi="Cambria Math"/>
              </w:rPr>
              <m:t>T1</m:t>
            </m:r>
          </m:sub>
        </m:sSub>
      </m:oMath>
      <w:r>
        <w:t>), then the DSR with multiple reporting thresholds would look like the one depicted in Table 2.2-1.</w:t>
      </w:r>
    </w:p>
    <w:p w14:paraId="31AA47DD" w14:textId="77777777" w:rsidR="00570E72" w:rsidRPr="006E13D1" w:rsidRDefault="00570E72" w:rsidP="00570E72">
      <w:pPr>
        <w:pStyle w:val="TH"/>
      </w:pPr>
      <w:r w:rsidRPr="006E13D1">
        <w:t xml:space="preserve">Table </w:t>
      </w:r>
      <w:r>
        <w:t>2.2-1</w:t>
      </w:r>
      <w:r w:rsidRPr="006E13D1">
        <w:t xml:space="preserve">: </w:t>
      </w:r>
      <w:r>
        <w:t>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853"/>
        <w:gridCol w:w="2025"/>
      </w:tblGrid>
      <w:tr w:rsidR="00570E72" w:rsidRPr="006E13D1" w14:paraId="1FBEF97F" w14:textId="7777777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6C93C85E" w14:textId="77777777" w:rsidR="00570E72" w:rsidRPr="00B93669" w:rsidRDefault="00570E72">
            <w:pPr>
              <w:pStyle w:val="TAH"/>
              <w:spacing w:before="20" w:after="20"/>
              <w:ind w:left="57" w:right="57"/>
              <w:rPr>
                <w:rFonts w:cs="Arial"/>
                <w:szCs w:val="18"/>
              </w:rPr>
            </w:pPr>
            <w:r w:rsidRPr="00B93669">
              <w:rPr>
                <w:rFonts w:cs="Arial"/>
                <w:szCs w:val="18"/>
              </w:rPr>
              <w:t>R</w:t>
            </w:r>
            <w:r>
              <w:rPr>
                <w:rFonts w:cs="Arial"/>
                <w:szCs w:val="18"/>
              </w:rPr>
              <w:t>emaining Time</w:t>
            </w:r>
            <w:r w:rsidRPr="00B93669">
              <w:rPr>
                <w:rFonts w:cs="Arial"/>
                <w:szCs w:val="18"/>
              </w:rPr>
              <w:t xml:space="preserve"> </w:t>
            </w:r>
            <w:r>
              <w:rPr>
                <w:rFonts w:cs="Arial"/>
                <w:szCs w:val="18"/>
              </w:rPr>
              <w:t>range</w:t>
            </w:r>
          </w:p>
        </w:tc>
        <w:tc>
          <w:tcPr>
            <w:tcW w:w="2853" w:type="dxa"/>
            <w:tcBorders>
              <w:top w:val="single" w:sz="4" w:space="0" w:color="auto"/>
              <w:left w:val="single" w:sz="4" w:space="0" w:color="auto"/>
              <w:bottom w:val="single" w:sz="4" w:space="0" w:color="auto"/>
              <w:right w:val="single" w:sz="4" w:space="0" w:color="auto"/>
            </w:tcBorders>
          </w:tcPr>
          <w:p w14:paraId="7C7AAB3E" w14:textId="77777777" w:rsidR="00570E72" w:rsidRDefault="00570E72">
            <w:pPr>
              <w:pStyle w:val="TAH"/>
              <w:spacing w:before="20" w:after="20"/>
              <w:ind w:left="57" w:right="57"/>
            </w:pPr>
            <w:r>
              <w:t>Reported Remaining Time</w:t>
            </w:r>
          </w:p>
        </w:tc>
        <w:tc>
          <w:tcPr>
            <w:tcW w:w="2025" w:type="dxa"/>
            <w:tcBorders>
              <w:top w:val="single" w:sz="4" w:space="0" w:color="auto"/>
              <w:left w:val="single" w:sz="4" w:space="0" w:color="auto"/>
              <w:bottom w:val="single" w:sz="4" w:space="0" w:color="auto"/>
              <w:right w:val="single" w:sz="4" w:space="0" w:color="auto"/>
            </w:tcBorders>
            <w:vAlign w:val="bottom"/>
          </w:tcPr>
          <w:p w14:paraId="09085559" w14:textId="77777777" w:rsidR="00570E72" w:rsidRPr="006E13D1" w:rsidRDefault="00570E72">
            <w:pPr>
              <w:pStyle w:val="TAH"/>
              <w:spacing w:before="20" w:after="20"/>
              <w:ind w:left="57" w:right="57"/>
            </w:pPr>
            <w:r>
              <w:t>Reported Buffer Size</w:t>
            </w:r>
          </w:p>
        </w:tc>
      </w:tr>
      <w:tr w:rsidR="00570E72" w:rsidRPr="006E13D1" w14:paraId="18330EE4" w14:textId="7777777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7C763F85" w14:textId="77777777" w:rsidR="00570E72" w:rsidRPr="006E13D1" w:rsidRDefault="000472DD">
            <w:pPr>
              <w:pStyle w:val="TAC"/>
              <w:spacing w:before="20" w:after="20"/>
              <w:ind w:left="57" w:right="57"/>
            </w:pPr>
            <m:oMathPara>
              <m:oMath>
                <m:r>
                  <w:rPr>
                    <w:rFonts w:ascii="Cambria Math" w:hAnsi="Cambria Math"/>
                    <w:sz w:val="20"/>
                  </w:rPr>
                  <m:t>[0,</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oMath>
            </m:oMathPara>
          </w:p>
        </w:tc>
        <w:tc>
          <w:tcPr>
            <w:tcW w:w="2853" w:type="dxa"/>
            <w:tcBorders>
              <w:top w:val="single" w:sz="4" w:space="0" w:color="auto"/>
              <w:left w:val="single" w:sz="4" w:space="0" w:color="auto"/>
              <w:bottom w:val="single" w:sz="4" w:space="0" w:color="auto"/>
              <w:right w:val="single" w:sz="4" w:space="0" w:color="auto"/>
            </w:tcBorders>
          </w:tcPr>
          <w:p w14:paraId="5F6FCEF8" w14:textId="77777777" w:rsidR="00570E72" w:rsidRDefault="002D4051">
            <w:pPr>
              <w:pStyle w:val="TAC"/>
              <w:spacing w:before="20" w:after="20"/>
              <w:ind w:left="57" w:right="57"/>
            </w:pPr>
            <m:oMathPara>
              <m:oMath>
                <m:sSub>
                  <m:sSubPr>
                    <m:ctrlPr>
                      <w:rPr>
                        <w:rFonts w:ascii="Cambria Math" w:hAnsi="Cambria Math"/>
                        <w:i/>
                        <w:sz w:val="20"/>
                      </w:rPr>
                    </m:ctrlPr>
                  </m:sSubPr>
                  <m:e>
                    <m:r>
                      <w:rPr>
                        <w:rFonts w:ascii="Cambria Math" w:hAnsi="Cambria Math"/>
                      </w:rPr>
                      <m:t>RT</m:t>
                    </m:r>
                  </m:e>
                  <m:sub>
                    <m:r>
                      <w:rPr>
                        <w:rFonts w:ascii="Cambria Math" w:hAnsi="Cambria Math"/>
                      </w:rPr>
                      <m:t>0</m:t>
                    </m:r>
                  </m:sub>
                </m:sSub>
              </m:oMath>
            </m:oMathPara>
          </w:p>
        </w:tc>
        <w:tc>
          <w:tcPr>
            <w:tcW w:w="2025" w:type="dxa"/>
            <w:tcBorders>
              <w:top w:val="single" w:sz="4" w:space="0" w:color="auto"/>
              <w:left w:val="single" w:sz="4" w:space="0" w:color="auto"/>
              <w:bottom w:val="single" w:sz="4" w:space="0" w:color="auto"/>
              <w:right w:val="single" w:sz="4" w:space="0" w:color="auto"/>
            </w:tcBorders>
            <w:vAlign w:val="bottom"/>
          </w:tcPr>
          <w:p w14:paraId="5F63F175" w14:textId="77777777" w:rsidR="00570E72" w:rsidRPr="006E13D1" w:rsidRDefault="002D4051">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oMath>
            </m:oMathPara>
          </w:p>
        </w:tc>
      </w:tr>
      <w:tr w:rsidR="00570E72" w:rsidRPr="006E13D1" w14:paraId="1DBE0BA2" w14:textId="77777777">
        <w:trPr>
          <w:trHeight w:val="240"/>
          <w:jc w:val="center"/>
        </w:trPr>
        <w:tc>
          <w:tcPr>
            <w:tcW w:w="3096" w:type="dxa"/>
            <w:tcBorders>
              <w:top w:val="single" w:sz="4" w:space="0" w:color="auto"/>
            </w:tcBorders>
            <w:noWrap/>
          </w:tcPr>
          <w:p w14:paraId="79CEFE31" w14:textId="77777777" w:rsidR="00570E72" w:rsidRPr="006E13D1" w:rsidRDefault="000472DD">
            <w:pPr>
              <w:pStyle w:val="TAC"/>
              <w:spacing w:before="20" w:after="20"/>
              <w:ind w:left="57" w:right="57"/>
            </w:pPr>
            <m:oMathPara>
              <m:oMath>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T1</m:t>
                    </m:r>
                  </m:sub>
                </m:sSub>
                <m:r>
                  <w:rPr>
                    <w:rFonts w:ascii="Cambria Math" w:hAnsi="Cambria Math"/>
                    <w:sz w:val="20"/>
                  </w:rPr>
                  <m:t>)</m:t>
                </m:r>
              </m:oMath>
            </m:oMathPara>
          </w:p>
        </w:tc>
        <w:tc>
          <w:tcPr>
            <w:tcW w:w="2853" w:type="dxa"/>
            <w:tcBorders>
              <w:top w:val="single" w:sz="4" w:space="0" w:color="auto"/>
            </w:tcBorders>
          </w:tcPr>
          <w:p w14:paraId="14FA94F1" w14:textId="77777777" w:rsidR="00570E72" w:rsidRDefault="002D4051">
            <w:pPr>
              <w:pStyle w:val="TAC"/>
              <w:spacing w:before="20" w:after="20"/>
              <w:ind w:left="57" w:right="57"/>
              <w:rPr>
                <w:rFonts w:eastAsia="MS Mincho" w:cs="Arial"/>
              </w:rPr>
            </w:pPr>
            <m:oMathPara>
              <m:oMath>
                <m:sSub>
                  <m:sSubPr>
                    <m:ctrlPr>
                      <w:rPr>
                        <w:rFonts w:ascii="Cambria Math" w:hAnsi="Cambria Math"/>
                        <w:i/>
                        <w:sz w:val="20"/>
                      </w:rPr>
                    </m:ctrlPr>
                  </m:sSubPr>
                  <m:e>
                    <m:r>
                      <w:rPr>
                        <w:rFonts w:ascii="Cambria Math" w:hAnsi="Cambria Math"/>
                      </w:rPr>
                      <m:t>RT</m:t>
                    </m:r>
                  </m:e>
                  <m:sub>
                    <m:r>
                      <w:rPr>
                        <w:rFonts w:ascii="Cambria Math" w:hAnsi="Cambria Math"/>
                      </w:rPr>
                      <m:t>2</m:t>
                    </m:r>
                  </m:sub>
                </m:sSub>
              </m:oMath>
            </m:oMathPara>
          </w:p>
        </w:tc>
        <w:tc>
          <w:tcPr>
            <w:tcW w:w="2025" w:type="dxa"/>
            <w:tcBorders>
              <w:top w:val="single" w:sz="4" w:space="0" w:color="auto"/>
            </w:tcBorders>
            <w:vAlign w:val="bottom"/>
          </w:tcPr>
          <w:p w14:paraId="6C308DD5" w14:textId="77777777" w:rsidR="00570E72" w:rsidRPr="006E13D1" w:rsidRDefault="002D4051">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oMath>
            </m:oMathPara>
          </w:p>
        </w:tc>
      </w:tr>
    </w:tbl>
    <w:p w14:paraId="1ED10505" w14:textId="77777777" w:rsidR="00570E72" w:rsidRDefault="00570E72" w:rsidP="00570E72">
      <w:pPr>
        <w:spacing w:before="120"/>
        <w:jc w:val="both"/>
      </w:pPr>
      <w:r>
        <w:t xml:space="preserve">Then, the </w:t>
      </w:r>
      <w:proofErr w:type="spellStart"/>
      <w:r>
        <w:t>gNB</w:t>
      </w:r>
      <w:proofErr w:type="spellEnd"/>
      <w:r>
        <w:t xml:space="preserve"> may think that allocating a transport block size of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oMath>
      <w:r>
        <w:t xml:space="preserve"> would be enough for the UE to transmit data with associated remaining time </w:t>
      </w:r>
      <m:oMath>
        <m:sSub>
          <m:sSubPr>
            <m:ctrlPr>
              <w:rPr>
                <w:rFonts w:ascii="Cambria Math" w:hAnsi="Cambria Math"/>
                <w:i/>
              </w:rPr>
            </m:ctrlPr>
          </m:sSubPr>
          <m:e>
            <m:r>
              <w:rPr>
                <w:rFonts w:ascii="Cambria Math" w:hAnsi="Cambria Math"/>
              </w:rPr>
              <m:t>RT</m:t>
            </m:r>
          </m:e>
          <m:sub>
            <m:r>
              <w:rPr>
                <w:rFonts w:ascii="Cambria Math" w:hAnsi="Cambria Math"/>
              </w:rPr>
              <m:t>0</m:t>
            </m:r>
          </m:sub>
        </m:sSub>
      </m:oMath>
      <w:r>
        <w:t>. However, this is not the case. Therefore, a better option for the DSR with multiple reporting thresholds would be the one shown in Table 2.2-2.</w:t>
      </w:r>
    </w:p>
    <w:p w14:paraId="53BA4903" w14:textId="77777777" w:rsidR="00570E72" w:rsidRPr="006E13D1" w:rsidRDefault="00570E72" w:rsidP="00570E72">
      <w:pPr>
        <w:pStyle w:val="TH"/>
      </w:pPr>
      <w:r>
        <w:t xml:space="preserve">    </w:t>
      </w:r>
      <w:r w:rsidRPr="006E13D1">
        <w:t xml:space="preserve">Table </w:t>
      </w:r>
      <w:r>
        <w:t>2.2-2</w:t>
      </w:r>
      <w:r w:rsidRPr="006E13D1">
        <w:t xml:space="preserve">: </w:t>
      </w:r>
      <w:r>
        <w:t>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711"/>
        <w:gridCol w:w="2086"/>
      </w:tblGrid>
      <w:tr w:rsidR="00570E72" w:rsidRPr="006E13D1" w14:paraId="45553D2D" w14:textId="7777777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2C8FDAC6" w14:textId="77777777" w:rsidR="00570E72" w:rsidRPr="00B93669" w:rsidRDefault="00570E72">
            <w:pPr>
              <w:pStyle w:val="TAH"/>
              <w:spacing w:before="20" w:after="20"/>
              <w:ind w:left="57" w:right="57"/>
              <w:rPr>
                <w:rFonts w:cs="Arial"/>
                <w:szCs w:val="18"/>
              </w:rPr>
            </w:pPr>
            <w:r w:rsidRPr="00B93669">
              <w:rPr>
                <w:rFonts w:cs="Arial"/>
                <w:szCs w:val="18"/>
              </w:rPr>
              <w:t>R</w:t>
            </w:r>
            <w:r>
              <w:rPr>
                <w:rFonts w:cs="Arial"/>
                <w:szCs w:val="18"/>
              </w:rPr>
              <w:t>emaining Time</w:t>
            </w:r>
            <w:r w:rsidRPr="00B93669">
              <w:rPr>
                <w:rFonts w:cs="Arial"/>
                <w:szCs w:val="18"/>
              </w:rPr>
              <w:t xml:space="preserve"> </w:t>
            </w:r>
            <w:r>
              <w:rPr>
                <w:rFonts w:cs="Arial"/>
                <w:szCs w:val="18"/>
              </w:rPr>
              <w:t>range</w:t>
            </w:r>
          </w:p>
        </w:tc>
        <w:tc>
          <w:tcPr>
            <w:tcW w:w="2711" w:type="dxa"/>
            <w:tcBorders>
              <w:top w:val="single" w:sz="4" w:space="0" w:color="auto"/>
              <w:left w:val="single" w:sz="4" w:space="0" w:color="auto"/>
              <w:bottom w:val="single" w:sz="4" w:space="0" w:color="auto"/>
              <w:right w:val="single" w:sz="4" w:space="0" w:color="auto"/>
            </w:tcBorders>
          </w:tcPr>
          <w:p w14:paraId="25C899E0" w14:textId="77777777" w:rsidR="00570E72" w:rsidRDefault="00570E72">
            <w:pPr>
              <w:pStyle w:val="TAH"/>
              <w:spacing w:before="20" w:after="20"/>
              <w:ind w:left="57" w:right="57"/>
            </w:pPr>
            <w:r>
              <w:t>Reported Remaining Time</w:t>
            </w:r>
          </w:p>
        </w:tc>
        <w:tc>
          <w:tcPr>
            <w:tcW w:w="2086" w:type="dxa"/>
            <w:tcBorders>
              <w:top w:val="single" w:sz="4" w:space="0" w:color="auto"/>
              <w:left w:val="single" w:sz="4" w:space="0" w:color="auto"/>
              <w:bottom w:val="single" w:sz="4" w:space="0" w:color="auto"/>
              <w:right w:val="single" w:sz="4" w:space="0" w:color="auto"/>
            </w:tcBorders>
            <w:vAlign w:val="bottom"/>
          </w:tcPr>
          <w:p w14:paraId="1BC3E5D8" w14:textId="77777777" w:rsidR="00570E72" w:rsidRPr="006E13D1" w:rsidRDefault="00570E72">
            <w:pPr>
              <w:pStyle w:val="TAH"/>
              <w:spacing w:before="20" w:after="20"/>
              <w:ind w:left="57" w:right="57"/>
            </w:pPr>
            <w:r>
              <w:t>Reported Buffer Size</w:t>
            </w:r>
          </w:p>
        </w:tc>
      </w:tr>
      <w:tr w:rsidR="00570E72" w:rsidRPr="006E13D1" w14:paraId="11BE8CDC" w14:textId="7777777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7218B98B" w14:textId="77777777" w:rsidR="00570E72" w:rsidRPr="006E13D1" w:rsidRDefault="000472DD">
            <w:pPr>
              <w:pStyle w:val="TAC"/>
              <w:spacing w:before="20" w:after="20"/>
              <w:ind w:left="57" w:right="57"/>
            </w:pPr>
            <m:oMathPara>
              <m:oMath>
                <m:r>
                  <w:rPr>
                    <w:rFonts w:ascii="Cambria Math" w:hAnsi="Cambria Math"/>
                    <w:sz w:val="20"/>
                  </w:rPr>
                  <m:t>[0,</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oMath>
            </m:oMathPara>
          </w:p>
        </w:tc>
        <w:tc>
          <w:tcPr>
            <w:tcW w:w="2711" w:type="dxa"/>
            <w:tcBorders>
              <w:top w:val="single" w:sz="4" w:space="0" w:color="auto"/>
              <w:left w:val="single" w:sz="4" w:space="0" w:color="auto"/>
              <w:bottom w:val="single" w:sz="4" w:space="0" w:color="auto"/>
              <w:right w:val="single" w:sz="4" w:space="0" w:color="auto"/>
            </w:tcBorders>
          </w:tcPr>
          <w:p w14:paraId="3992ED4D" w14:textId="77777777" w:rsidR="00570E72" w:rsidRDefault="002D4051">
            <w:pPr>
              <w:pStyle w:val="TAC"/>
              <w:spacing w:before="20" w:after="20"/>
              <w:ind w:left="57" w:right="57"/>
            </w:pPr>
            <m:oMathPara>
              <m:oMath>
                <m:sSub>
                  <m:sSubPr>
                    <m:ctrlPr>
                      <w:rPr>
                        <w:rFonts w:ascii="Cambria Math" w:hAnsi="Cambria Math"/>
                        <w:i/>
                        <w:sz w:val="20"/>
                      </w:rPr>
                    </m:ctrlPr>
                  </m:sSubPr>
                  <m:e>
                    <m:r>
                      <w:rPr>
                        <w:rFonts w:ascii="Cambria Math" w:hAnsi="Cambria Math"/>
                      </w:rPr>
                      <m:t>RT</m:t>
                    </m:r>
                  </m:e>
                  <m:sub>
                    <m:r>
                      <w:rPr>
                        <w:rFonts w:ascii="Cambria Math" w:hAnsi="Cambria Math"/>
                      </w:rPr>
                      <m:t>0</m:t>
                    </m:r>
                  </m:sub>
                </m:sSub>
              </m:oMath>
            </m:oMathPara>
          </w:p>
        </w:tc>
        <w:tc>
          <w:tcPr>
            <w:tcW w:w="2086" w:type="dxa"/>
            <w:tcBorders>
              <w:top w:val="single" w:sz="4" w:space="0" w:color="auto"/>
              <w:left w:val="single" w:sz="4" w:space="0" w:color="auto"/>
              <w:bottom w:val="single" w:sz="4" w:space="0" w:color="auto"/>
              <w:right w:val="single" w:sz="4" w:space="0" w:color="auto"/>
            </w:tcBorders>
            <w:vAlign w:val="bottom"/>
          </w:tcPr>
          <w:p w14:paraId="54A67AB6" w14:textId="77777777" w:rsidR="00570E72" w:rsidRPr="006E13D1" w:rsidRDefault="002D4051">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+S</m:t>
                    </m:r>
                  </m:e>
                  <m:sub>
                    <m:r>
                      <w:rPr>
                        <w:rFonts w:ascii="Cambria Math" w:hAnsi="Cambria Math"/>
                      </w:rPr>
                      <m:t>4</m:t>
                    </m:r>
                  </m:sub>
                </m:sSub>
              </m:oMath>
            </m:oMathPara>
          </w:p>
        </w:tc>
      </w:tr>
      <w:tr w:rsidR="00570E72" w:rsidRPr="006E13D1" w14:paraId="3956F030" w14:textId="77777777">
        <w:trPr>
          <w:trHeight w:val="240"/>
          <w:jc w:val="center"/>
        </w:trPr>
        <w:tc>
          <w:tcPr>
            <w:tcW w:w="3096" w:type="dxa"/>
            <w:tcBorders>
              <w:top w:val="single" w:sz="4" w:space="0" w:color="auto"/>
            </w:tcBorders>
            <w:noWrap/>
          </w:tcPr>
          <w:p w14:paraId="562E873F" w14:textId="77777777" w:rsidR="00570E72" w:rsidRPr="006E13D1" w:rsidRDefault="000472DD">
            <w:pPr>
              <w:pStyle w:val="TAC"/>
              <w:spacing w:before="20" w:after="20"/>
              <w:ind w:left="57" w:right="57"/>
            </w:pPr>
            <m:oMathPara>
              <m:oMath>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T1</m:t>
                    </m:r>
                  </m:sub>
                </m:sSub>
                <m:r>
                  <w:rPr>
                    <w:rFonts w:ascii="Cambria Math" w:hAnsi="Cambria Math"/>
                    <w:sz w:val="20"/>
                  </w:rPr>
                  <m:t>)</m:t>
                </m:r>
              </m:oMath>
            </m:oMathPara>
          </w:p>
        </w:tc>
        <w:tc>
          <w:tcPr>
            <w:tcW w:w="2711" w:type="dxa"/>
            <w:tcBorders>
              <w:top w:val="single" w:sz="4" w:space="0" w:color="auto"/>
            </w:tcBorders>
          </w:tcPr>
          <w:p w14:paraId="520765FC" w14:textId="77777777" w:rsidR="00570E72" w:rsidRDefault="002D4051">
            <w:pPr>
              <w:pStyle w:val="TAC"/>
              <w:spacing w:before="20" w:after="20"/>
              <w:ind w:left="57" w:right="57"/>
              <w:rPr>
                <w:rFonts w:eastAsia="MS Mincho" w:cs="Arial"/>
              </w:rPr>
            </w:pPr>
            <m:oMathPara>
              <m:oMath>
                <m:sSub>
                  <m:sSubPr>
                    <m:ctrlPr>
                      <w:rPr>
                        <w:rFonts w:ascii="Cambria Math" w:hAnsi="Cambria Math"/>
                        <w:i/>
                        <w:sz w:val="20"/>
                      </w:rPr>
                    </m:ctrlPr>
                  </m:sSubPr>
                  <m:e>
                    <m:r>
                      <w:rPr>
                        <w:rFonts w:ascii="Cambria Math" w:hAnsi="Cambria Math"/>
                      </w:rPr>
                      <m:t>RT</m:t>
                    </m:r>
                  </m:e>
                  <m:sub>
                    <m:r>
                      <w:rPr>
                        <w:rFonts w:ascii="Cambria Math" w:hAnsi="Cambria Math"/>
                      </w:rPr>
                      <m:t>2</m:t>
                    </m:r>
                  </m:sub>
                </m:sSub>
              </m:oMath>
            </m:oMathPara>
          </w:p>
        </w:tc>
        <w:tc>
          <w:tcPr>
            <w:tcW w:w="2086" w:type="dxa"/>
            <w:tcBorders>
              <w:top w:val="single" w:sz="4" w:space="0" w:color="auto"/>
            </w:tcBorders>
            <w:vAlign w:val="bottom"/>
          </w:tcPr>
          <w:p w14:paraId="00E0562F" w14:textId="77777777" w:rsidR="00570E72" w:rsidRPr="006E13D1" w:rsidRDefault="002D4051">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oMath>
            </m:oMathPara>
          </w:p>
        </w:tc>
      </w:tr>
    </w:tbl>
    <w:p w14:paraId="696BC060" w14:textId="6C2F95C1" w:rsidR="00570E72" w:rsidRDefault="00570E72" w:rsidP="00BD0EEA">
      <w:pPr>
        <w:spacing w:before="120"/>
        <w:rPr>
          <w:lang w:val="en-US"/>
        </w:rPr>
      </w:pPr>
      <w:r w:rsidDel="00D72B3F">
        <w:rPr>
          <w:b/>
          <w:bCs/>
        </w:rPr>
        <w:t xml:space="preserve">Proposal </w:t>
      </w:r>
      <w:r w:rsidR="001D6C68">
        <w:rPr>
          <w:b/>
          <w:bCs/>
        </w:rPr>
        <w:t>5</w:t>
      </w:r>
      <w:r w:rsidRPr="0025229E" w:rsidDel="00D72B3F">
        <w:t>:</w:t>
      </w:r>
      <w:r w:rsidRPr="00065F3A" w:rsidDel="00D72B3F">
        <w:t xml:space="preserve"> </w:t>
      </w:r>
      <w:r w:rsidRPr="00E274EA">
        <w:t xml:space="preserve">Include in the BS calculation for DSR corresponding to a </w:t>
      </w:r>
      <w:r>
        <w:t xml:space="preserve">remaining time </w:t>
      </w:r>
      <w:r w:rsidRPr="00E274EA">
        <w:t xml:space="preserve">range all PDUs until the last PDU belonging to any PDU set whose associated remaining time is within the </w:t>
      </w:r>
      <w:r>
        <w:t>remaining time</w:t>
      </w:r>
      <w:r w:rsidRPr="00E274EA">
        <w:t xml:space="preserve"> range</w:t>
      </w:r>
      <w:r w:rsidRPr="0025229E">
        <w:rPr>
          <w:lang w:val="en-US"/>
        </w:rPr>
        <w:t>.</w:t>
      </w:r>
    </w:p>
    <w:p w14:paraId="16CB5684" w14:textId="77777777" w:rsidR="008B549E" w:rsidRPr="006E13D1" w:rsidRDefault="008B549E" w:rsidP="008B549E">
      <w:pPr>
        <w:pStyle w:val="Heading1"/>
      </w:pPr>
      <w:r>
        <w:t>3</w:t>
      </w:r>
      <w:r w:rsidRPr="006E13D1">
        <w:tab/>
      </w:r>
      <w:r>
        <w:t>Conclusion</w:t>
      </w:r>
    </w:p>
    <w:p w14:paraId="11C2BA2E" w14:textId="62C97DC6" w:rsidR="008B549E" w:rsidRDefault="00D842B4" w:rsidP="008B549E">
      <w:r>
        <w:t>Remaining issues on DSR are discussed in this contribution with the following proposals proposed:</w:t>
      </w:r>
    </w:p>
    <w:p w14:paraId="23AAEE36" w14:textId="77777777" w:rsidR="00D842B4" w:rsidRDefault="00D842B4" w:rsidP="00D842B4">
      <w:pPr>
        <w:jc w:val="both"/>
      </w:pPr>
      <w:r w:rsidRPr="006B006A">
        <w:rPr>
          <w:b/>
        </w:rPr>
        <w:t>Proposal 1</w:t>
      </w:r>
      <w:r w:rsidRPr="006B006A">
        <w:t xml:space="preserve">: </w:t>
      </w:r>
      <w:r>
        <w:t xml:space="preserve">the </w:t>
      </w:r>
      <w:r>
        <w:rPr>
          <w:iCs/>
        </w:rPr>
        <w:t>Rel-19 DSR reporting threshold parameter could be</w:t>
      </w:r>
      <w:r>
        <w:t xml:space="preserve"> used to configure single or multiple reporting thresholds</w:t>
      </w:r>
      <w:r w:rsidRPr="006B006A">
        <w:t>.</w:t>
      </w:r>
    </w:p>
    <w:p w14:paraId="16D77A43" w14:textId="77777777" w:rsidR="00D842B4" w:rsidRDefault="00D842B4" w:rsidP="00D842B4">
      <w:pPr>
        <w:rPr>
          <w:lang w:val="en-US"/>
        </w:rPr>
      </w:pPr>
      <w:r w:rsidRPr="00411371">
        <w:rPr>
          <w:b/>
          <w:bCs/>
          <w:lang w:val="en-US"/>
        </w:rPr>
        <w:t xml:space="preserve">Proposal </w:t>
      </w:r>
      <w:r>
        <w:rPr>
          <w:b/>
          <w:bCs/>
          <w:lang w:val="en-US"/>
        </w:rPr>
        <w:t>2</w:t>
      </w:r>
      <w:r>
        <w:rPr>
          <w:lang w:val="en-US"/>
        </w:rPr>
        <w:t>: for each reported BS/RT entry, an extension bit (the R bit in RT octet) is used to indicate whether there is a further BS/RT pair following for the LCG.</w:t>
      </w:r>
    </w:p>
    <w:p w14:paraId="4ACE1795" w14:textId="77777777" w:rsidR="00D842B4" w:rsidRDefault="00D842B4" w:rsidP="00D842B4">
      <w:pPr>
        <w:jc w:val="both"/>
        <w:rPr>
          <w:lang w:val="en-US"/>
        </w:rPr>
      </w:pPr>
      <w:r w:rsidRPr="00411371">
        <w:rPr>
          <w:b/>
          <w:bCs/>
          <w:lang w:val="en-US"/>
        </w:rPr>
        <w:t xml:space="preserve">Proposal </w:t>
      </w:r>
      <w:r>
        <w:rPr>
          <w:b/>
          <w:bCs/>
          <w:lang w:val="en-US"/>
        </w:rPr>
        <w:t>3</w:t>
      </w:r>
      <w:r>
        <w:rPr>
          <w:lang w:val="en-US"/>
        </w:rPr>
        <w:t>: the Rel-19 DSR format is used when there is any LCG configured with multiple reporting thresholds since there is no overhead difference from legacy DSR even if all the LCGs are with single entry.</w:t>
      </w:r>
    </w:p>
    <w:p w14:paraId="263AE92B" w14:textId="77777777" w:rsidR="00D842B4" w:rsidRDefault="00D842B4" w:rsidP="00D842B4">
      <w:r w:rsidRPr="00574BED">
        <w:rPr>
          <w:b/>
        </w:rPr>
        <w:t>Proposal 4</w:t>
      </w:r>
      <w:r>
        <w:t>: To avoid double reporting with BSR and DSR, one of the following options could be considered:</w:t>
      </w:r>
    </w:p>
    <w:p w14:paraId="154569DA" w14:textId="77777777" w:rsidR="00121024" w:rsidRDefault="00121024" w:rsidP="00121024">
      <w:pPr>
        <w:ind w:firstLine="284"/>
      </w:pPr>
      <w:r>
        <w:t xml:space="preserve">Option 1: The signalling design should allow to disable BSR and enable DSR only for </w:t>
      </w:r>
      <w:r>
        <w:rPr>
          <w:rFonts w:hint="eastAsia"/>
          <w:lang w:eastAsia="zh-CN"/>
        </w:rPr>
        <w:t>an</w:t>
      </w:r>
      <w:r>
        <w:t xml:space="preserve"> LCH/LCG;</w:t>
      </w:r>
    </w:p>
    <w:p w14:paraId="2574E877" w14:textId="77777777" w:rsidR="00D842B4" w:rsidRPr="0003047C" w:rsidRDefault="00D842B4" w:rsidP="00D842B4">
      <w:pPr>
        <w:ind w:firstLine="284"/>
      </w:pPr>
      <w:r>
        <w:t>Option 2: the UE cancels BSR if DSR already includes full buffer status for all the LCGs.</w:t>
      </w:r>
    </w:p>
    <w:p w14:paraId="35F222F4" w14:textId="10C11FEB" w:rsidR="00080512" w:rsidRPr="005A5862" w:rsidRDefault="00D842B4" w:rsidP="00D842B4">
      <w:pPr>
        <w:spacing w:before="120"/>
      </w:pPr>
      <w:r w:rsidDel="00D72B3F">
        <w:rPr>
          <w:b/>
          <w:bCs/>
        </w:rPr>
        <w:t xml:space="preserve">Proposal </w:t>
      </w:r>
      <w:r>
        <w:rPr>
          <w:b/>
          <w:bCs/>
        </w:rPr>
        <w:t>5</w:t>
      </w:r>
      <w:r w:rsidRPr="0025229E" w:rsidDel="00D72B3F">
        <w:t>:</w:t>
      </w:r>
      <w:r w:rsidRPr="00065F3A" w:rsidDel="00D72B3F">
        <w:t xml:space="preserve"> </w:t>
      </w:r>
      <w:r w:rsidRPr="00E274EA">
        <w:t xml:space="preserve">Include in the BS calculation for DSR corresponding to a </w:t>
      </w:r>
      <w:r>
        <w:t xml:space="preserve">remaining time </w:t>
      </w:r>
      <w:r w:rsidRPr="00E274EA">
        <w:t xml:space="preserve">range all PDUs until the last PDU belonging to any PDU set whose associated remaining time is within the </w:t>
      </w:r>
      <w:r>
        <w:t>remaining time</w:t>
      </w:r>
      <w:r w:rsidRPr="00E274EA">
        <w:t xml:space="preserve"> range</w:t>
      </w:r>
      <w:r w:rsidRPr="0025229E">
        <w:rPr>
          <w:lang w:val="en-US"/>
        </w:rPr>
        <w:t>.</w:t>
      </w: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ED660" w14:textId="77777777" w:rsidR="009173E3" w:rsidRDefault="009173E3">
      <w:r>
        <w:separator/>
      </w:r>
    </w:p>
  </w:endnote>
  <w:endnote w:type="continuationSeparator" w:id="0">
    <w:p w14:paraId="2A5F018E" w14:textId="77777777" w:rsidR="009173E3" w:rsidRDefault="009173E3">
      <w:r>
        <w:continuationSeparator/>
      </w:r>
    </w:p>
  </w:endnote>
  <w:endnote w:type="continuationNotice" w:id="1">
    <w:p w14:paraId="2EE06BB8" w14:textId="77777777" w:rsidR="009173E3" w:rsidRDefault="00917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B132" w14:textId="77777777" w:rsidR="002D4051" w:rsidRDefault="002D4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E706" w14:textId="77777777" w:rsidR="002D4051" w:rsidRDefault="002D4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2F7A" w14:textId="77777777" w:rsidR="002D4051" w:rsidRDefault="002D4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7C26" w14:textId="77777777" w:rsidR="009173E3" w:rsidRDefault="009173E3">
      <w:r>
        <w:separator/>
      </w:r>
    </w:p>
  </w:footnote>
  <w:footnote w:type="continuationSeparator" w:id="0">
    <w:p w14:paraId="5554EE5F" w14:textId="77777777" w:rsidR="009173E3" w:rsidRDefault="009173E3">
      <w:r>
        <w:continuationSeparator/>
      </w:r>
    </w:p>
  </w:footnote>
  <w:footnote w:type="continuationNotice" w:id="1">
    <w:p w14:paraId="41184DA8" w14:textId="77777777" w:rsidR="009173E3" w:rsidRDefault="00917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AE96" w14:textId="77777777" w:rsidR="002D4051" w:rsidRDefault="002D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0DBF2" w14:textId="77777777" w:rsidR="002D4051" w:rsidRDefault="002D4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A1F2" w14:textId="77777777" w:rsidR="002D4051" w:rsidRDefault="002D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71613971">
    <w:abstractNumId w:val="16"/>
  </w:num>
  <w:num w:numId="19" w16cid:durableId="1451707858">
    <w:abstractNumId w:val="16"/>
  </w:num>
  <w:num w:numId="20" w16cid:durableId="2128237814">
    <w:abstractNumId w:val="16"/>
  </w:num>
  <w:num w:numId="21" w16cid:durableId="248664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047C"/>
    <w:rsid w:val="000311B2"/>
    <w:rsid w:val="00033397"/>
    <w:rsid w:val="00040095"/>
    <w:rsid w:val="000418DD"/>
    <w:rsid w:val="000472DD"/>
    <w:rsid w:val="00052C34"/>
    <w:rsid w:val="00065268"/>
    <w:rsid w:val="000729D0"/>
    <w:rsid w:val="00073C9C"/>
    <w:rsid w:val="00076412"/>
    <w:rsid w:val="00080512"/>
    <w:rsid w:val="0008077A"/>
    <w:rsid w:val="000819BE"/>
    <w:rsid w:val="00085CF8"/>
    <w:rsid w:val="00090468"/>
    <w:rsid w:val="00094568"/>
    <w:rsid w:val="00094A7D"/>
    <w:rsid w:val="000A000D"/>
    <w:rsid w:val="000A7D5E"/>
    <w:rsid w:val="000B7BCF"/>
    <w:rsid w:val="000C522B"/>
    <w:rsid w:val="000C6D46"/>
    <w:rsid w:val="000C7257"/>
    <w:rsid w:val="000D0668"/>
    <w:rsid w:val="000D3DFC"/>
    <w:rsid w:val="000D54AE"/>
    <w:rsid w:val="000D58AB"/>
    <w:rsid w:val="000E180D"/>
    <w:rsid w:val="000F1E7E"/>
    <w:rsid w:val="00101942"/>
    <w:rsid w:val="001021BA"/>
    <w:rsid w:val="00107DC0"/>
    <w:rsid w:val="001123A8"/>
    <w:rsid w:val="00112F1A"/>
    <w:rsid w:val="00121024"/>
    <w:rsid w:val="0012487D"/>
    <w:rsid w:val="0012610D"/>
    <w:rsid w:val="00127C4D"/>
    <w:rsid w:val="00133233"/>
    <w:rsid w:val="00135CA6"/>
    <w:rsid w:val="00145075"/>
    <w:rsid w:val="00150291"/>
    <w:rsid w:val="00150379"/>
    <w:rsid w:val="00150A2D"/>
    <w:rsid w:val="001528B5"/>
    <w:rsid w:val="00154E45"/>
    <w:rsid w:val="00155699"/>
    <w:rsid w:val="00163A64"/>
    <w:rsid w:val="00171FDC"/>
    <w:rsid w:val="001741A0"/>
    <w:rsid w:val="00175189"/>
    <w:rsid w:val="00175FA0"/>
    <w:rsid w:val="0018542A"/>
    <w:rsid w:val="001858A5"/>
    <w:rsid w:val="00185990"/>
    <w:rsid w:val="00194CD0"/>
    <w:rsid w:val="0019554B"/>
    <w:rsid w:val="001A662B"/>
    <w:rsid w:val="001B49C9"/>
    <w:rsid w:val="001C23F4"/>
    <w:rsid w:val="001C4F79"/>
    <w:rsid w:val="001C5987"/>
    <w:rsid w:val="001D6C68"/>
    <w:rsid w:val="001D7910"/>
    <w:rsid w:val="001E3392"/>
    <w:rsid w:val="001E3F5D"/>
    <w:rsid w:val="001E6808"/>
    <w:rsid w:val="001F168B"/>
    <w:rsid w:val="001F7831"/>
    <w:rsid w:val="00204045"/>
    <w:rsid w:val="0020697E"/>
    <w:rsid w:val="0020712B"/>
    <w:rsid w:val="00211114"/>
    <w:rsid w:val="002127C6"/>
    <w:rsid w:val="0021716B"/>
    <w:rsid w:val="00217467"/>
    <w:rsid w:val="0022606D"/>
    <w:rsid w:val="00231728"/>
    <w:rsid w:val="00237394"/>
    <w:rsid w:val="00244A05"/>
    <w:rsid w:val="00245FC4"/>
    <w:rsid w:val="00250404"/>
    <w:rsid w:val="00256287"/>
    <w:rsid w:val="00256B74"/>
    <w:rsid w:val="00256BD7"/>
    <w:rsid w:val="00260F87"/>
    <w:rsid w:val="002610D8"/>
    <w:rsid w:val="002747EC"/>
    <w:rsid w:val="0027749E"/>
    <w:rsid w:val="002811DF"/>
    <w:rsid w:val="0028398B"/>
    <w:rsid w:val="002855BF"/>
    <w:rsid w:val="00290283"/>
    <w:rsid w:val="00290A7C"/>
    <w:rsid w:val="002927A9"/>
    <w:rsid w:val="00295100"/>
    <w:rsid w:val="002B2988"/>
    <w:rsid w:val="002B65DB"/>
    <w:rsid w:val="002D119B"/>
    <w:rsid w:val="002D4051"/>
    <w:rsid w:val="002E0713"/>
    <w:rsid w:val="002E0FE0"/>
    <w:rsid w:val="002F0D22"/>
    <w:rsid w:val="0030005C"/>
    <w:rsid w:val="00302CC8"/>
    <w:rsid w:val="003036FF"/>
    <w:rsid w:val="00304B22"/>
    <w:rsid w:val="00311B17"/>
    <w:rsid w:val="00315100"/>
    <w:rsid w:val="00315FA8"/>
    <w:rsid w:val="003166CA"/>
    <w:rsid w:val="003172DC"/>
    <w:rsid w:val="00321349"/>
    <w:rsid w:val="00325AE3"/>
    <w:rsid w:val="00325D20"/>
    <w:rsid w:val="00326069"/>
    <w:rsid w:val="00334BEE"/>
    <w:rsid w:val="00345C2C"/>
    <w:rsid w:val="0035462D"/>
    <w:rsid w:val="0036459E"/>
    <w:rsid w:val="00364B41"/>
    <w:rsid w:val="00383096"/>
    <w:rsid w:val="00392BFF"/>
    <w:rsid w:val="0039346C"/>
    <w:rsid w:val="003A41EF"/>
    <w:rsid w:val="003A4ED8"/>
    <w:rsid w:val="003B2631"/>
    <w:rsid w:val="003B40AD"/>
    <w:rsid w:val="003C0704"/>
    <w:rsid w:val="003C1ADA"/>
    <w:rsid w:val="003C1C12"/>
    <w:rsid w:val="003C3D6F"/>
    <w:rsid w:val="003C4E37"/>
    <w:rsid w:val="003D0FD0"/>
    <w:rsid w:val="003D6B42"/>
    <w:rsid w:val="003D7AAB"/>
    <w:rsid w:val="003E16BE"/>
    <w:rsid w:val="003F38E2"/>
    <w:rsid w:val="003F4E28"/>
    <w:rsid w:val="003F6E88"/>
    <w:rsid w:val="003F76B6"/>
    <w:rsid w:val="004006E8"/>
    <w:rsid w:val="00401855"/>
    <w:rsid w:val="00410337"/>
    <w:rsid w:val="0041350C"/>
    <w:rsid w:val="00423B4C"/>
    <w:rsid w:val="00430296"/>
    <w:rsid w:val="004317CC"/>
    <w:rsid w:val="00446C3A"/>
    <w:rsid w:val="00446F1D"/>
    <w:rsid w:val="00465587"/>
    <w:rsid w:val="00470A60"/>
    <w:rsid w:val="004726B3"/>
    <w:rsid w:val="00477455"/>
    <w:rsid w:val="00483950"/>
    <w:rsid w:val="00484A49"/>
    <w:rsid w:val="00490A87"/>
    <w:rsid w:val="004A1F7B"/>
    <w:rsid w:val="004B16F0"/>
    <w:rsid w:val="004B3D3E"/>
    <w:rsid w:val="004C37E8"/>
    <w:rsid w:val="004C44D2"/>
    <w:rsid w:val="004C6838"/>
    <w:rsid w:val="004D0784"/>
    <w:rsid w:val="004D3578"/>
    <w:rsid w:val="004D380D"/>
    <w:rsid w:val="004E213A"/>
    <w:rsid w:val="004E618A"/>
    <w:rsid w:val="004E7553"/>
    <w:rsid w:val="004E7814"/>
    <w:rsid w:val="004F0A0A"/>
    <w:rsid w:val="004F4540"/>
    <w:rsid w:val="004F73A7"/>
    <w:rsid w:val="00503171"/>
    <w:rsid w:val="00505800"/>
    <w:rsid w:val="00506C28"/>
    <w:rsid w:val="00507056"/>
    <w:rsid w:val="00515DDB"/>
    <w:rsid w:val="005321C9"/>
    <w:rsid w:val="005330DD"/>
    <w:rsid w:val="005331C4"/>
    <w:rsid w:val="00533F01"/>
    <w:rsid w:val="00534DA0"/>
    <w:rsid w:val="00537809"/>
    <w:rsid w:val="00541A65"/>
    <w:rsid w:val="005432D9"/>
    <w:rsid w:val="00543E6C"/>
    <w:rsid w:val="00546664"/>
    <w:rsid w:val="00546E9E"/>
    <w:rsid w:val="00552B01"/>
    <w:rsid w:val="00565087"/>
    <w:rsid w:val="0056573F"/>
    <w:rsid w:val="00570E72"/>
    <w:rsid w:val="00571279"/>
    <w:rsid w:val="00573250"/>
    <w:rsid w:val="00574BED"/>
    <w:rsid w:val="00575FC5"/>
    <w:rsid w:val="00581559"/>
    <w:rsid w:val="00591D76"/>
    <w:rsid w:val="00592213"/>
    <w:rsid w:val="005A13AB"/>
    <w:rsid w:val="005A49C6"/>
    <w:rsid w:val="005A5862"/>
    <w:rsid w:val="005B5013"/>
    <w:rsid w:val="005B7F5F"/>
    <w:rsid w:val="005C0E92"/>
    <w:rsid w:val="005C766E"/>
    <w:rsid w:val="005C7CD5"/>
    <w:rsid w:val="005D5AFF"/>
    <w:rsid w:val="005E2629"/>
    <w:rsid w:val="005E71C7"/>
    <w:rsid w:val="006001E6"/>
    <w:rsid w:val="00611566"/>
    <w:rsid w:val="00612195"/>
    <w:rsid w:val="00621A2E"/>
    <w:rsid w:val="0062688C"/>
    <w:rsid w:val="00636079"/>
    <w:rsid w:val="00642D9A"/>
    <w:rsid w:val="00644084"/>
    <w:rsid w:val="00646D99"/>
    <w:rsid w:val="00653329"/>
    <w:rsid w:val="00656910"/>
    <w:rsid w:val="0065723F"/>
    <w:rsid w:val="00657441"/>
    <w:rsid w:val="006574C0"/>
    <w:rsid w:val="006613E6"/>
    <w:rsid w:val="00665EB2"/>
    <w:rsid w:val="00667025"/>
    <w:rsid w:val="00670B9D"/>
    <w:rsid w:val="00671CB6"/>
    <w:rsid w:val="00671E34"/>
    <w:rsid w:val="00675FF1"/>
    <w:rsid w:val="006821CF"/>
    <w:rsid w:val="006923B0"/>
    <w:rsid w:val="00696821"/>
    <w:rsid w:val="006B006A"/>
    <w:rsid w:val="006B16F8"/>
    <w:rsid w:val="006B3E3E"/>
    <w:rsid w:val="006B57DD"/>
    <w:rsid w:val="006C66D8"/>
    <w:rsid w:val="006D1E24"/>
    <w:rsid w:val="006D35DE"/>
    <w:rsid w:val="006E1057"/>
    <w:rsid w:val="006E1417"/>
    <w:rsid w:val="006E69DD"/>
    <w:rsid w:val="006F461E"/>
    <w:rsid w:val="006F50DE"/>
    <w:rsid w:val="006F5F1A"/>
    <w:rsid w:val="006F6A2C"/>
    <w:rsid w:val="00702115"/>
    <w:rsid w:val="007069DC"/>
    <w:rsid w:val="00710201"/>
    <w:rsid w:val="00712264"/>
    <w:rsid w:val="007203CD"/>
    <w:rsid w:val="0072073A"/>
    <w:rsid w:val="00723B23"/>
    <w:rsid w:val="007342B5"/>
    <w:rsid w:val="00734A5B"/>
    <w:rsid w:val="00736303"/>
    <w:rsid w:val="00737B07"/>
    <w:rsid w:val="00744905"/>
    <w:rsid w:val="00744E76"/>
    <w:rsid w:val="00753419"/>
    <w:rsid w:val="00757D40"/>
    <w:rsid w:val="00761175"/>
    <w:rsid w:val="007662B5"/>
    <w:rsid w:val="007678A4"/>
    <w:rsid w:val="007704EF"/>
    <w:rsid w:val="00777639"/>
    <w:rsid w:val="00781F0F"/>
    <w:rsid w:val="0078727C"/>
    <w:rsid w:val="0079049D"/>
    <w:rsid w:val="007916B9"/>
    <w:rsid w:val="00793DC5"/>
    <w:rsid w:val="00796823"/>
    <w:rsid w:val="007A2E55"/>
    <w:rsid w:val="007B18D8"/>
    <w:rsid w:val="007B6943"/>
    <w:rsid w:val="007C095F"/>
    <w:rsid w:val="007C2DD0"/>
    <w:rsid w:val="007C4710"/>
    <w:rsid w:val="007C6F80"/>
    <w:rsid w:val="007D6F73"/>
    <w:rsid w:val="007E1F82"/>
    <w:rsid w:val="007E58EC"/>
    <w:rsid w:val="007F09B0"/>
    <w:rsid w:val="007F2E08"/>
    <w:rsid w:val="007F793D"/>
    <w:rsid w:val="008024FA"/>
    <w:rsid w:val="008028A4"/>
    <w:rsid w:val="008102F2"/>
    <w:rsid w:val="00813245"/>
    <w:rsid w:val="008145A4"/>
    <w:rsid w:val="00817AC2"/>
    <w:rsid w:val="00817B0F"/>
    <w:rsid w:val="00823B6B"/>
    <w:rsid w:val="00827347"/>
    <w:rsid w:val="008279EA"/>
    <w:rsid w:val="00840DE0"/>
    <w:rsid w:val="00847CD0"/>
    <w:rsid w:val="00850C29"/>
    <w:rsid w:val="0085569F"/>
    <w:rsid w:val="008607A8"/>
    <w:rsid w:val="0086354A"/>
    <w:rsid w:val="00872F3C"/>
    <w:rsid w:val="00872F7B"/>
    <w:rsid w:val="00875FD8"/>
    <w:rsid w:val="008768CA"/>
    <w:rsid w:val="00877EF9"/>
    <w:rsid w:val="00880559"/>
    <w:rsid w:val="00880EC2"/>
    <w:rsid w:val="00885BE7"/>
    <w:rsid w:val="008A7D3B"/>
    <w:rsid w:val="008B5306"/>
    <w:rsid w:val="008B549E"/>
    <w:rsid w:val="008B54E8"/>
    <w:rsid w:val="008C2E2A"/>
    <w:rsid w:val="008C3057"/>
    <w:rsid w:val="008C3C46"/>
    <w:rsid w:val="008C6BE8"/>
    <w:rsid w:val="008D0C8C"/>
    <w:rsid w:val="008D2E4D"/>
    <w:rsid w:val="008F2FE9"/>
    <w:rsid w:val="008F396F"/>
    <w:rsid w:val="008F3DCD"/>
    <w:rsid w:val="008F4FF2"/>
    <w:rsid w:val="0090271F"/>
    <w:rsid w:val="00902DB9"/>
    <w:rsid w:val="0090466A"/>
    <w:rsid w:val="00905311"/>
    <w:rsid w:val="00905E5A"/>
    <w:rsid w:val="00911F55"/>
    <w:rsid w:val="00915295"/>
    <w:rsid w:val="009173E3"/>
    <w:rsid w:val="00923655"/>
    <w:rsid w:val="009248C6"/>
    <w:rsid w:val="009339CB"/>
    <w:rsid w:val="00934B0F"/>
    <w:rsid w:val="00935ED3"/>
    <w:rsid w:val="00936071"/>
    <w:rsid w:val="009366F6"/>
    <w:rsid w:val="009376CD"/>
    <w:rsid w:val="00940212"/>
    <w:rsid w:val="00942EC2"/>
    <w:rsid w:val="00945B4D"/>
    <w:rsid w:val="00961B32"/>
    <w:rsid w:val="00962509"/>
    <w:rsid w:val="009641D9"/>
    <w:rsid w:val="0096672E"/>
    <w:rsid w:val="009703A6"/>
    <w:rsid w:val="00970DB3"/>
    <w:rsid w:val="009717B7"/>
    <w:rsid w:val="00974BB0"/>
    <w:rsid w:val="00975BCD"/>
    <w:rsid w:val="00980961"/>
    <w:rsid w:val="009818A2"/>
    <w:rsid w:val="009861A5"/>
    <w:rsid w:val="009928A9"/>
    <w:rsid w:val="009A039B"/>
    <w:rsid w:val="009A0AF3"/>
    <w:rsid w:val="009B07CD"/>
    <w:rsid w:val="009C193C"/>
    <w:rsid w:val="009C19E9"/>
    <w:rsid w:val="009C3019"/>
    <w:rsid w:val="009D4729"/>
    <w:rsid w:val="009D74A6"/>
    <w:rsid w:val="009E0E87"/>
    <w:rsid w:val="009E7206"/>
    <w:rsid w:val="009F6934"/>
    <w:rsid w:val="00A02FBF"/>
    <w:rsid w:val="00A06DA5"/>
    <w:rsid w:val="00A10F02"/>
    <w:rsid w:val="00A17176"/>
    <w:rsid w:val="00A204CA"/>
    <w:rsid w:val="00A209D6"/>
    <w:rsid w:val="00A22738"/>
    <w:rsid w:val="00A3088D"/>
    <w:rsid w:val="00A320DA"/>
    <w:rsid w:val="00A3212C"/>
    <w:rsid w:val="00A366EA"/>
    <w:rsid w:val="00A36F5F"/>
    <w:rsid w:val="00A430EC"/>
    <w:rsid w:val="00A47592"/>
    <w:rsid w:val="00A525AD"/>
    <w:rsid w:val="00A53724"/>
    <w:rsid w:val="00A54B2B"/>
    <w:rsid w:val="00A63493"/>
    <w:rsid w:val="00A66A30"/>
    <w:rsid w:val="00A703B6"/>
    <w:rsid w:val="00A82346"/>
    <w:rsid w:val="00A85AC3"/>
    <w:rsid w:val="00A94C18"/>
    <w:rsid w:val="00A9671C"/>
    <w:rsid w:val="00AA1553"/>
    <w:rsid w:val="00AA40F3"/>
    <w:rsid w:val="00AA58C6"/>
    <w:rsid w:val="00AA5C83"/>
    <w:rsid w:val="00AB06D7"/>
    <w:rsid w:val="00AB3094"/>
    <w:rsid w:val="00AD103A"/>
    <w:rsid w:val="00AD3B22"/>
    <w:rsid w:val="00AD7E7C"/>
    <w:rsid w:val="00AD7F55"/>
    <w:rsid w:val="00AE00C7"/>
    <w:rsid w:val="00AE4D81"/>
    <w:rsid w:val="00AE5863"/>
    <w:rsid w:val="00AE5F3B"/>
    <w:rsid w:val="00AF3BCE"/>
    <w:rsid w:val="00B000AB"/>
    <w:rsid w:val="00B05380"/>
    <w:rsid w:val="00B05962"/>
    <w:rsid w:val="00B05AD9"/>
    <w:rsid w:val="00B1189C"/>
    <w:rsid w:val="00B11F1B"/>
    <w:rsid w:val="00B15449"/>
    <w:rsid w:val="00B16C2F"/>
    <w:rsid w:val="00B20F26"/>
    <w:rsid w:val="00B27303"/>
    <w:rsid w:val="00B45156"/>
    <w:rsid w:val="00B47FD1"/>
    <w:rsid w:val="00B516BB"/>
    <w:rsid w:val="00B5751D"/>
    <w:rsid w:val="00B60772"/>
    <w:rsid w:val="00B669E9"/>
    <w:rsid w:val="00B7538C"/>
    <w:rsid w:val="00B8366C"/>
    <w:rsid w:val="00B84DB2"/>
    <w:rsid w:val="00B87D7E"/>
    <w:rsid w:val="00BA5B1A"/>
    <w:rsid w:val="00BB5EB3"/>
    <w:rsid w:val="00BB6A7F"/>
    <w:rsid w:val="00BB76B3"/>
    <w:rsid w:val="00BC1B04"/>
    <w:rsid w:val="00BC3555"/>
    <w:rsid w:val="00BC469A"/>
    <w:rsid w:val="00BC5A0A"/>
    <w:rsid w:val="00BD0EEA"/>
    <w:rsid w:val="00BD5910"/>
    <w:rsid w:val="00BD6CE7"/>
    <w:rsid w:val="00BE0C74"/>
    <w:rsid w:val="00BE1587"/>
    <w:rsid w:val="00BE2FEC"/>
    <w:rsid w:val="00BE79F6"/>
    <w:rsid w:val="00BF0868"/>
    <w:rsid w:val="00BF5F3F"/>
    <w:rsid w:val="00C0363C"/>
    <w:rsid w:val="00C06BF0"/>
    <w:rsid w:val="00C07241"/>
    <w:rsid w:val="00C12B51"/>
    <w:rsid w:val="00C24650"/>
    <w:rsid w:val="00C25465"/>
    <w:rsid w:val="00C31806"/>
    <w:rsid w:val="00C33079"/>
    <w:rsid w:val="00C33EB6"/>
    <w:rsid w:val="00C40F3B"/>
    <w:rsid w:val="00C4459E"/>
    <w:rsid w:val="00C46457"/>
    <w:rsid w:val="00C55866"/>
    <w:rsid w:val="00C55A12"/>
    <w:rsid w:val="00C565B9"/>
    <w:rsid w:val="00C6553E"/>
    <w:rsid w:val="00C669BE"/>
    <w:rsid w:val="00C71CB7"/>
    <w:rsid w:val="00C72EFA"/>
    <w:rsid w:val="00C755BF"/>
    <w:rsid w:val="00C755C3"/>
    <w:rsid w:val="00C83A13"/>
    <w:rsid w:val="00C844E0"/>
    <w:rsid w:val="00C85EBF"/>
    <w:rsid w:val="00C861FB"/>
    <w:rsid w:val="00C86F10"/>
    <w:rsid w:val="00C9068C"/>
    <w:rsid w:val="00C92967"/>
    <w:rsid w:val="00C92A56"/>
    <w:rsid w:val="00C95379"/>
    <w:rsid w:val="00CA2DE7"/>
    <w:rsid w:val="00CA3D0C"/>
    <w:rsid w:val="00CA654B"/>
    <w:rsid w:val="00CB183F"/>
    <w:rsid w:val="00CB72B8"/>
    <w:rsid w:val="00CC0684"/>
    <w:rsid w:val="00CD0BA8"/>
    <w:rsid w:val="00CD10AC"/>
    <w:rsid w:val="00CD4C7B"/>
    <w:rsid w:val="00CD58FE"/>
    <w:rsid w:val="00CE6CF2"/>
    <w:rsid w:val="00CF6AC9"/>
    <w:rsid w:val="00D05A28"/>
    <w:rsid w:val="00D15A2E"/>
    <w:rsid w:val="00D33BE3"/>
    <w:rsid w:val="00D35D03"/>
    <w:rsid w:val="00D3792D"/>
    <w:rsid w:val="00D406D0"/>
    <w:rsid w:val="00D4464D"/>
    <w:rsid w:val="00D51A57"/>
    <w:rsid w:val="00D5297C"/>
    <w:rsid w:val="00D5364F"/>
    <w:rsid w:val="00D54820"/>
    <w:rsid w:val="00D5551E"/>
    <w:rsid w:val="00D55E47"/>
    <w:rsid w:val="00D62E19"/>
    <w:rsid w:val="00D63DB7"/>
    <w:rsid w:val="00D6524B"/>
    <w:rsid w:val="00D67CD1"/>
    <w:rsid w:val="00D71A62"/>
    <w:rsid w:val="00D738D6"/>
    <w:rsid w:val="00D74585"/>
    <w:rsid w:val="00D75C47"/>
    <w:rsid w:val="00D80795"/>
    <w:rsid w:val="00D842B4"/>
    <w:rsid w:val="00D854BE"/>
    <w:rsid w:val="00D85A66"/>
    <w:rsid w:val="00D87E00"/>
    <w:rsid w:val="00D90382"/>
    <w:rsid w:val="00D9134D"/>
    <w:rsid w:val="00D94EAC"/>
    <w:rsid w:val="00D95A5C"/>
    <w:rsid w:val="00D96D11"/>
    <w:rsid w:val="00DA1415"/>
    <w:rsid w:val="00DA7A03"/>
    <w:rsid w:val="00DB0DB8"/>
    <w:rsid w:val="00DB1818"/>
    <w:rsid w:val="00DB5C1D"/>
    <w:rsid w:val="00DC2779"/>
    <w:rsid w:val="00DC2B3A"/>
    <w:rsid w:val="00DC309B"/>
    <w:rsid w:val="00DC4DA2"/>
    <w:rsid w:val="00DC5261"/>
    <w:rsid w:val="00DC5B14"/>
    <w:rsid w:val="00DD1309"/>
    <w:rsid w:val="00DD700E"/>
    <w:rsid w:val="00DE25D2"/>
    <w:rsid w:val="00DF578E"/>
    <w:rsid w:val="00DF7C20"/>
    <w:rsid w:val="00E038FB"/>
    <w:rsid w:val="00E07396"/>
    <w:rsid w:val="00E10D39"/>
    <w:rsid w:val="00E11EAE"/>
    <w:rsid w:val="00E124DF"/>
    <w:rsid w:val="00E17261"/>
    <w:rsid w:val="00E2536F"/>
    <w:rsid w:val="00E42A2B"/>
    <w:rsid w:val="00E42FED"/>
    <w:rsid w:val="00E46C08"/>
    <w:rsid w:val="00E471CF"/>
    <w:rsid w:val="00E54F4E"/>
    <w:rsid w:val="00E5529E"/>
    <w:rsid w:val="00E56D1F"/>
    <w:rsid w:val="00E624FA"/>
    <w:rsid w:val="00E62835"/>
    <w:rsid w:val="00E6480E"/>
    <w:rsid w:val="00E766C7"/>
    <w:rsid w:val="00E77645"/>
    <w:rsid w:val="00E82959"/>
    <w:rsid w:val="00E83697"/>
    <w:rsid w:val="00E859B6"/>
    <w:rsid w:val="00E9113B"/>
    <w:rsid w:val="00E92CB7"/>
    <w:rsid w:val="00EA66C9"/>
    <w:rsid w:val="00EB5D32"/>
    <w:rsid w:val="00EB77A2"/>
    <w:rsid w:val="00EC4A25"/>
    <w:rsid w:val="00ED1BB6"/>
    <w:rsid w:val="00ED43A0"/>
    <w:rsid w:val="00EE41BE"/>
    <w:rsid w:val="00EF612C"/>
    <w:rsid w:val="00F025A2"/>
    <w:rsid w:val="00F02695"/>
    <w:rsid w:val="00F036E9"/>
    <w:rsid w:val="00F07388"/>
    <w:rsid w:val="00F07C9C"/>
    <w:rsid w:val="00F13822"/>
    <w:rsid w:val="00F13E55"/>
    <w:rsid w:val="00F1437A"/>
    <w:rsid w:val="00F15511"/>
    <w:rsid w:val="00F15E02"/>
    <w:rsid w:val="00F2016F"/>
    <w:rsid w:val="00F2026E"/>
    <w:rsid w:val="00F2210A"/>
    <w:rsid w:val="00F27E94"/>
    <w:rsid w:val="00F31372"/>
    <w:rsid w:val="00F37743"/>
    <w:rsid w:val="00F40C2F"/>
    <w:rsid w:val="00F42493"/>
    <w:rsid w:val="00F54A3D"/>
    <w:rsid w:val="00F54CB0"/>
    <w:rsid w:val="00F573F3"/>
    <w:rsid w:val="00F579CD"/>
    <w:rsid w:val="00F653B8"/>
    <w:rsid w:val="00F67133"/>
    <w:rsid w:val="00F71B89"/>
    <w:rsid w:val="00F7353C"/>
    <w:rsid w:val="00F75C42"/>
    <w:rsid w:val="00F76F8F"/>
    <w:rsid w:val="00F774A6"/>
    <w:rsid w:val="00F84F2C"/>
    <w:rsid w:val="00F857CD"/>
    <w:rsid w:val="00F87048"/>
    <w:rsid w:val="00F87257"/>
    <w:rsid w:val="00F90DFE"/>
    <w:rsid w:val="00F92861"/>
    <w:rsid w:val="00F941DF"/>
    <w:rsid w:val="00F96769"/>
    <w:rsid w:val="00F978A3"/>
    <w:rsid w:val="00FA1266"/>
    <w:rsid w:val="00FA5281"/>
    <w:rsid w:val="00FB12A5"/>
    <w:rsid w:val="00FB36FA"/>
    <w:rsid w:val="00FB6178"/>
    <w:rsid w:val="00FB6368"/>
    <w:rsid w:val="00FC1192"/>
    <w:rsid w:val="00FE106D"/>
    <w:rsid w:val="00FE251B"/>
    <w:rsid w:val="00FF4867"/>
    <w:rsid w:val="00FF4DC7"/>
    <w:rsid w:val="00FF5B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9DA1D33-5097-411E-98A5-022EF62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D53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D5364F"/>
    <w:pPr>
      <w:numPr>
        <w:numId w:val="18"/>
      </w:numPr>
      <w:spacing w:before="60" w:after="0"/>
    </w:pPr>
    <w:rPr>
      <w:rFonts w:ascii="Arial" w:eastAsia="MS Mincho" w:hAnsi="Arial"/>
      <w:b/>
      <w:szCs w:val="24"/>
      <w:lang w:eastAsia="en-GB"/>
    </w:rPr>
  </w:style>
  <w:style w:type="paragraph" w:styleId="Revision">
    <w:name w:val="Revision"/>
    <w:hidden/>
    <w:uiPriority w:val="99"/>
    <w:semiHidden/>
    <w:rsid w:val="008C6B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RBI5PAMIO524-1616901215-37339</_dlc_DocId>
    <_dlc_DocIdUrl xmlns="71c5aaf6-e6ce-465b-b873-5148d2a4c105">
      <Url>https://nokia.sharepoint.com/sites/gxp/_layouts/15/DocIdRedir.aspx?ID=RBI5PAMIO524-1616901215-37339</Url>
      <Description>RBI5PAMIO524-1616901215-37339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term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2025-02-07T01:45:00Z</dcterms:created>
  <dcterms:modified xsi:type="dcterms:W3CDTF">2025-02-07T01:45:00Z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76ce6b26-2675-4546-a1f5-73cd38d1d20d</vt:lpwstr>
  </property>
</Properties>
</file>